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2BA02767" w:rsidR="00085FC9" w:rsidRPr="00663F85" w:rsidRDefault="00980122" w:rsidP="00085FC9">
      <w:pPr>
        <w:jc w:val="center"/>
        <w:rPr>
          <w:b/>
          <w:sz w:val="24"/>
        </w:rPr>
      </w:pPr>
      <w:r w:rsidRPr="00980122">
        <w:rPr>
          <w:b/>
          <w:sz w:val="24"/>
        </w:rPr>
        <w:t>Tb³⁺-Doped Alkali Boro-Phosphate Glasses as Promising Scintillators for X-Ray Imaging Applications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10B30407" w14:textId="0A56F3CE" w:rsidR="0006390B" w:rsidRPr="00D44933" w:rsidRDefault="00FC1E67" w:rsidP="00962C3C">
      <w:pPr>
        <w:jc w:val="center"/>
        <w:rPr>
          <w:rFonts w:cs="Angsana New"/>
          <w:sz w:val="24"/>
          <w:szCs w:val="32"/>
          <w:lang w:bidi="th-TH"/>
        </w:rPr>
      </w:pPr>
      <w:r w:rsidRPr="000E55F0">
        <w:rPr>
          <w:sz w:val="24"/>
          <w:szCs w:val="32"/>
        </w:rPr>
        <w:t>N. Kiwsakunkran</w:t>
      </w:r>
      <w:r w:rsidRPr="000E55F0">
        <w:rPr>
          <w:sz w:val="24"/>
          <w:szCs w:val="32"/>
          <w:vertAlign w:val="superscript"/>
        </w:rPr>
        <w:t>1,2</w:t>
      </w:r>
      <w:r w:rsidR="000D1336" w:rsidRPr="000E55F0">
        <w:rPr>
          <w:sz w:val="24"/>
          <w:szCs w:val="32"/>
          <w:vertAlign w:val="superscript"/>
        </w:rPr>
        <w:t>*</w:t>
      </w:r>
      <w:r w:rsidRPr="000E55F0">
        <w:rPr>
          <w:sz w:val="24"/>
          <w:szCs w:val="32"/>
        </w:rPr>
        <w:t>, N. Chanthima</w:t>
      </w:r>
      <w:r w:rsidRPr="000E55F0">
        <w:rPr>
          <w:sz w:val="24"/>
          <w:szCs w:val="32"/>
          <w:vertAlign w:val="superscript"/>
        </w:rPr>
        <w:t>1,2</w:t>
      </w:r>
      <w:r w:rsidRPr="000E55F0">
        <w:rPr>
          <w:sz w:val="24"/>
          <w:szCs w:val="32"/>
        </w:rPr>
        <w:t xml:space="preserve">, </w:t>
      </w:r>
      <w:r w:rsidR="00EE3F8D" w:rsidRPr="00EE3F8D">
        <w:rPr>
          <w:sz w:val="24"/>
          <w:szCs w:val="32"/>
        </w:rPr>
        <w:t>P. Kidkhunthod</w:t>
      </w:r>
      <w:r w:rsidRPr="000E55F0">
        <w:rPr>
          <w:sz w:val="24"/>
          <w:szCs w:val="32"/>
          <w:vertAlign w:val="superscript"/>
        </w:rPr>
        <w:t>3</w:t>
      </w:r>
      <w:r w:rsidRPr="000E55F0">
        <w:rPr>
          <w:sz w:val="24"/>
          <w:szCs w:val="32"/>
        </w:rPr>
        <w:t xml:space="preserve">, </w:t>
      </w:r>
      <w:r w:rsidRPr="00D44933">
        <w:rPr>
          <w:sz w:val="24"/>
          <w:szCs w:val="32"/>
        </w:rPr>
        <w:t>A. Angnanon</w:t>
      </w:r>
      <w:r w:rsidRPr="00D44933">
        <w:rPr>
          <w:sz w:val="24"/>
          <w:szCs w:val="32"/>
          <w:vertAlign w:val="superscript"/>
        </w:rPr>
        <w:t>4,5</w:t>
      </w:r>
      <w:r w:rsidRPr="00D44933">
        <w:rPr>
          <w:sz w:val="24"/>
          <w:szCs w:val="32"/>
        </w:rPr>
        <w:t xml:space="preserve">, </w:t>
      </w:r>
      <w:r w:rsidR="0006390B" w:rsidRPr="00D44933">
        <w:rPr>
          <w:rFonts w:cs="Angsana New"/>
          <w:sz w:val="24"/>
          <w:szCs w:val="32"/>
          <w:lang w:bidi="th-TH"/>
        </w:rPr>
        <w:t>N. Intachai</w:t>
      </w:r>
      <w:r w:rsidR="0006390B" w:rsidRPr="00D44933">
        <w:rPr>
          <w:rFonts w:cs="Angsana New"/>
          <w:sz w:val="24"/>
          <w:szCs w:val="32"/>
          <w:vertAlign w:val="superscript"/>
          <w:lang w:bidi="th-TH"/>
        </w:rPr>
        <w:t>4</w:t>
      </w:r>
      <w:r w:rsidR="0006390B" w:rsidRPr="00D44933">
        <w:rPr>
          <w:rFonts w:cs="Angsana New"/>
          <w:sz w:val="24"/>
          <w:szCs w:val="32"/>
          <w:lang w:bidi="th-TH"/>
        </w:rPr>
        <w:t>, S. Kothan</w:t>
      </w:r>
      <w:r w:rsidR="0006390B" w:rsidRPr="00D44933">
        <w:rPr>
          <w:rFonts w:cs="Angsana New"/>
          <w:sz w:val="24"/>
          <w:szCs w:val="32"/>
          <w:vertAlign w:val="superscript"/>
          <w:lang w:bidi="th-TH"/>
        </w:rPr>
        <w:t>4</w:t>
      </w:r>
      <w:r w:rsidR="0006390B" w:rsidRPr="00D44933">
        <w:rPr>
          <w:rFonts w:cs="Angsana New"/>
          <w:sz w:val="24"/>
          <w:szCs w:val="32"/>
          <w:lang w:bidi="th-TH"/>
        </w:rPr>
        <w:t xml:space="preserve">, </w:t>
      </w:r>
    </w:p>
    <w:p w14:paraId="4C9E6C9C" w14:textId="34DCCD77" w:rsidR="00085FC9" w:rsidRPr="00D44933" w:rsidRDefault="00463713" w:rsidP="00962C3C">
      <w:pPr>
        <w:jc w:val="center"/>
        <w:rPr>
          <w:sz w:val="24"/>
        </w:rPr>
      </w:pPr>
      <w:r w:rsidRPr="00D44933">
        <w:rPr>
          <w:sz w:val="24"/>
          <w:szCs w:val="32"/>
          <w:lang w:bidi="th-TH"/>
        </w:rPr>
        <w:t>H.J. Kim</w:t>
      </w:r>
      <w:r w:rsidR="00BE06A6" w:rsidRPr="00D44933">
        <w:rPr>
          <w:sz w:val="24"/>
          <w:szCs w:val="32"/>
          <w:vertAlign w:val="superscript"/>
          <w:lang w:bidi="th-TH"/>
        </w:rPr>
        <w:t>6</w:t>
      </w:r>
      <w:r w:rsidRPr="00D44933">
        <w:rPr>
          <w:sz w:val="24"/>
          <w:szCs w:val="32"/>
          <w:lang w:bidi="th-TH"/>
        </w:rPr>
        <w:t xml:space="preserve">, </w:t>
      </w:r>
      <w:r w:rsidR="00FC1E67" w:rsidRPr="00D44933">
        <w:rPr>
          <w:sz w:val="24"/>
          <w:szCs w:val="32"/>
        </w:rPr>
        <w:t>J. Kaewkhao</w:t>
      </w:r>
      <w:r w:rsidR="000D1336" w:rsidRPr="00D44933">
        <w:rPr>
          <w:sz w:val="24"/>
          <w:szCs w:val="32"/>
          <w:vertAlign w:val="superscript"/>
        </w:rPr>
        <w:t>1,2</w:t>
      </w:r>
    </w:p>
    <w:p w14:paraId="74B98797" w14:textId="77777777" w:rsidR="00085FC9" w:rsidRPr="00D44933" w:rsidRDefault="00085FC9" w:rsidP="00962C3C">
      <w:pPr>
        <w:rPr>
          <w:sz w:val="24"/>
          <w:cs/>
          <w:lang w:bidi="th-TH"/>
        </w:rPr>
      </w:pPr>
    </w:p>
    <w:p w14:paraId="0C93B3C7" w14:textId="687D0258" w:rsidR="00085FC9" w:rsidRPr="00D44933" w:rsidRDefault="00085FC9" w:rsidP="00962C3C">
      <w:pPr>
        <w:jc w:val="center"/>
        <w:rPr>
          <w:i/>
          <w:sz w:val="24"/>
        </w:rPr>
      </w:pPr>
      <w:r w:rsidRPr="00D44933">
        <w:rPr>
          <w:i/>
          <w:sz w:val="24"/>
          <w:vertAlign w:val="superscript"/>
        </w:rPr>
        <w:t>1</w:t>
      </w:r>
      <w:r w:rsidR="000D1336" w:rsidRPr="00D44933">
        <w:rPr>
          <w:i/>
          <w:sz w:val="24"/>
        </w:rPr>
        <w:t>Physics Program, Faculty of Science and Technology, Nakhon Pathom Rajabhat University, Nakhon Pathom, 73000, Thailand</w:t>
      </w:r>
    </w:p>
    <w:p w14:paraId="40F5578C" w14:textId="35C82CA9" w:rsidR="000D1336" w:rsidRPr="00D44933" w:rsidRDefault="00085FC9" w:rsidP="000D1336">
      <w:pPr>
        <w:widowControl w:val="0"/>
        <w:spacing w:after="80"/>
        <w:jc w:val="center"/>
        <w:rPr>
          <w:i/>
          <w:iCs/>
          <w:sz w:val="24"/>
          <w:szCs w:val="24"/>
        </w:rPr>
      </w:pPr>
      <w:r w:rsidRPr="00D44933">
        <w:rPr>
          <w:i/>
          <w:sz w:val="24"/>
          <w:vertAlign w:val="superscript"/>
        </w:rPr>
        <w:t>2</w:t>
      </w:r>
      <w:r w:rsidR="000D1336" w:rsidRPr="00D44933">
        <w:rPr>
          <w:i/>
          <w:iCs/>
          <w:sz w:val="24"/>
          <w:szCs w:val="24"/>
        </w:rPr>
        <w:t>Center of Excellence in Glass Technology and Materials science (CEGM), Nakhon Pathom Rajabhat University, Nakhon Pathom, 73000, Thailand</w:t>
      </w:r>
    </w:p>
    <w:p w14:paraId="1F2C680F" w14:textId="5B6611A1" w:rsidR="000D1336" w:rsidRPr="00D44933" w:rsidRDefault="000D1336" w:rsidP="000D1336">
      <w:pPr>
        <w:widowControl w:val="0"/>
        <w:spacing w:after="80"/>
        <w:jc w:val="center"/>
        <w:rPr>
          <w:i/>
          <w:iCs/>
          <w:sz w:val="24"/>
          <w:szCs w:val="24"/>
        </w:rPr>
      </w:pPr>
      <w:r w:rsidRPr="00D44933">
        <w:rPr>
          <w:i/>
          <w:iCs/>
          <w:sz w:val="24"/>
          <w:szCs w:val="24"/>
          <w:vertAlign w:val="superscript"/>
        </w:rPr>
        <w:t>3</w:t>
      </w:r>
      <w:r w:rsidRPr="00D44933">
        <w:rPr>
          <w:i/>
          <w:iCs/>
          <w:sz w:val="24"/>
          <w:szCs w:val="24"/>
        </w:rPr>
        <w:t>Synchrotron Light Research Institute, Nakhon Ratchasima, 30000, Thailand</w:t>
      </w:r>
    </w:p>
    <w:p w14:paraId="05A0C4E5" w14:textId="77777777" w:rsidR="000D1336" w:rsidRPr="00D44933" w:rsidRDefault="000D1336" w:rsidP="000D1336">
      <w:pPr>
        <w:widowControl w:val="0"/>
        <w:spacing w:after="80"/>
        <w:jc w:val="center"/>
        <w:rPr>
          <w:i/>
          <w:iCs/>
          <w:sz w:val="24"/>
          <w:szCs w:val="24"/>
        </w:rPr>
      </w:pPr>
      <w:r w:rsidRPr="00D44933">
        <w:rPr>
          <w:i/>
          <w:iCs/>
          <w:sz w:val="24"/>
          <w:szCs w:val="24"/>
          <w:vertAlign w:val="superscript"/>
        </w:rPr>
        <w:t xml:space="preserve"> 4</w:t>
      </w:r>
      <w:r w:rsidRPr="00D44933">
        <w:rPr>
          <w:i/>
          <w:iCs/>
          <w:sz w:val="24"/>
          <w:szCs w:val="24"/>
        </w:rPr>
        <w:t>Center of Radiation Research and Medical Imaging, Department of Radiologic Technology, Faculty of Associated Medical Sciences, Chiang Mai University, Chiang Mai,</w:t>
      </w:r>
    </w:p>
    <w:p w14:paraId="03AE3693" w14:textId="77777777" w:rsidR="000D1336" w:rsidRPr="00D44933" w:rsidRDefault="000D1336" w:rsidP="000D1336">
      <w:pPr>
        <w:widowControl w:val="0"/>
        <w:spacing w:after="80"/>
        <w:jc w:val="center"/>
        <w:rPr>
          <w:i/>
          <w:iCs/>
          <w:sz w:val="24"/>
          <w:szCs w:val="24"/>
        </w:rPr>
      </w:pPr>
      <w:r w:rsidRPr="00D44933">
        <w:rPr>
          <w:i/>
          <w:iCs/>
          <w:sz w:val="24"/>
          <w:szCs w:val="24"/>
        </w:rPr>
        <w:t>50200, Thailand</w:t>
      </w:r>
    </w:p>
    <w:p w14:paraId="4D704D6A" w14:textId="77777777" w:rsidR="000D1336" w:rsidRPr="00D44933" w:rsidRDefault="000D1336" w:rsidP="000D1336">
      <w:pPr>
        <w:widowControl w:val="0"/>
        <w:spacing w:after="80"/>
        <w:jc w:val="center"/>
        <w:rPr>
          <w:i/>
          <w:iCs/>
          <w:sz w:val="24"/>
          <w:szCs w:val="24"/>
        </w:rPr>
      </w:pPr>
      <w:r w:rsidRPr="00D44933">
        <w:rPr>
          <w:i/>
          <w:iCs/>
          <w:sz w:val="24"/>
          <w:szCs w:val="24"/>
          <w:vertAlign w:val="superscript"/>
        </w:rPr>
        <w:t xml:space="preserve">5 </w:t>
      </w:r>
      <w:r w:rsidRPr="00D44933">
        <w:rPr>
          <w:i/>
          <w:iCs/>
          <w:sz w:val="24"/>
          <w:szCs w:val="24"/>
        </w:rPr>
        <w:t>Office of Research Administration, Chiang Mai University, Chiang Mai, 50200, Thailand</w:t>
      </w:r>
    </w:p>
    <w:p w14:paraId="6B0984D6" w14:textId="5E723D46" w:rsidR="00463713" w:rsidRPr="009A2FF0" w:rsidRDefault="009A2FF0" w:rsidP="0097001E">
      <w:pPr>
        <w:widowControl w:val="0"/>
        <w:spacing w:after="80"/>
        <w:jc w:val="center"/>
        <w:rPr>
          <w:rFonts w:cs="Angsana New"/>
          <w:i/>
          <w:iCs/>
          <w:sz w:val="24"/>
          <w:szCs w:val="24"/>
          <w:lang w:bidi="th-TH"/>
        </w:rPr>
      </w:pPr>
      <w:r w:rsidRPr="00D44933">
        <w:rPr>
          <w:rFonts w:cs="Angsana New"/>
          <w:i/>
          <w:iCs/>
          <w:sz w:val="24"/>
          <w:szCs w:val="24"/>
          <w:vertAlign w:val="superscript"/>
          <w:lang w:bidi="th-TH"/>
        </w:rPr>
        <w:t>6</w:t>
      </w:r>
      <w:r w:rsidRPr="00D44933">
        <w:rPr>
          <w:rFonts w:cs="Angsana New"/>
          <w:i/>
          <w:iCs/>
          <w:sz w:val="24"/>
          <w:szCs w:val="24"/>
          <w:lang w:bidi="th-TH"/>
        </w:rPr>
        <w:t>Department of Physics, Kyungpook National University, Daegu, 41566, Republic of Korea</w:t>
      </w:r>
    </w:p>
    <w:p w14:paraId="19649FCE" w14:textId="6856B532" w:rsidR="00085FC9" w:rsidRDefault="00085FC9" w:rsidP="00962C3C">
      <w:pPr>
        <w:jc w:val="center"/>
        <w:rPr>
          <w:i/>
          <w:sz w:val="24"/>
        </w:rPr>
      </w:pPr>
    </w:p>
    <w:p w14:paraId="44535264" w14:textId="74AE8635" w:rsidR="0044547B" w:rsidRDefault="0044547B" w:rsidP="00C37DD7">
      <w:pPr>
        <w:jc w:val="center"/>
        <w:rPr>
          <w:iCs/>
          <w:sz w:val="24"/>
          <w:u w:val="single"/>
          <w:lang w:bidi="th-TH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06390B" w:rsidRPr="00096B04">
          <w:rPr>
            <w:rStyle w:val="Hyperlink"/>
            <w:iCs/>
            <w:sz w:val="24"/>
          </w:rPr>
          <w:t>nuchjaree.kiw@hotmail.com</w:t>
        </w:r>
      </w:hyperlink>
      <w:r w:rsidR="0006390B">
        <w:rPr>
          <w:rFonts w:hint="cs"/>
          <w:iCs/>
          <w:sz w:val="24"/>
          <w:cs/>
          <w:lang w:bidi="th-TH"/>
        </w:rPr>
        <w:t xml:space="preserve"> </w:t>
      </w:r>
    </w:p>
    <w:p w14:paraId="4B8C94C7" w14:textId="4A86A93B" w:rsidR="00C37DD7" w:rsidRPr="00C37DD7" w:rsidRDefault="00C37DD7" w:rsidP="00C37DD7">
      <w:pPr>
        <w:rPr>
          <w:iCs/>
          <w:sz w:val="24"/>
        </w:rPr>
      </w:pPr>
    </w:p>
    <w:p w14:paraId="1FDA7E32" w14:textId="43D19576" w:rsidR="00EE3F8D" w:rsidRDefault="00D44933" w:rsidP="00EE3F8D">
      <w:pPr>
        <w:pStyle w:val="Paragraph"/>
        <w:ind w:firstLine="0"/>
        <w:jc w:val="both"/>
        <w:rPr>
          <w:noProof/>
          <w:sz w:val="24"/>
          <w:lang w:val="it-IT" w:eastAsia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E605DB" wp14:editId="6F833B1F">
                <wp:simplePos x="0" y="0"/>
                <wp:positionH relativeFrom="column">
                  <wp:posOffset>3191510</wp:posOffset>
                </wp:positionH>
                <wp:positionV relativeFrom="paragraph">
                  <wp:posOffset>4352290</wp:posOffset>
                </wp:positionV>
                <wp:extent cx="2990850" cy="14046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462" y="20392"/>
                    <wp:lineTo x="2146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C2424" w14:textId="029A1B57" w:rsidR="00224093" w:rsidRPr="00224093" w:rsidRDefault="00EE3F8D" w:rsidP="00224093">
                            <w:pPr>
                              <w:pStyle w:val="Paragraph"/>
                              <w:ind w:firstLine="0"/>
                              <w:jc w:val="thaiDistribute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 xml:space="preserve">X-ray images of an encapsulated chip and a standard line-pair card of </w:t>
                            </w:r>
                            <w:proofErr w:type="spellStart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>LiTb</w:t>
                            </w:r>
                            <w:proofErr w:type="spellEnd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>NaTb</w:t>
                            </w:r>
                            <w:proofErr w:type="spellEnd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 xml:space="preserve"> and </w:t>
                            </w:r>
                            <w:proofErr w:type="spellStart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>KTb</w:t>
                            </w:r>
                            <w:proofErr w:type="spellEnd"/>
                            <w:r w:rsidRPr="00EE3F8D">
                              <w:rPr>
                                <w:i/>
                                <w:iCs/>
                                <w:sz w:val="18"/>
                                <w:szCs w:val="14"/>
                              </w:rPr>
                              <w:t xml:space="preserve"> glasses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60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pt;margin-top:342.7pt;width:235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nvDQIAAPc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" stroked="f">
                <v:textbox style="mso-fit-shape-to-text:t">
                  <w:txbxContent>
                    <w:p w14:paraId="59AC2424" w14:textId="029A1B57" w:rsidR="00224093" w:rsidRPr="00224093" w:rsidRDefault="00EE3F8D" w:rsidP="00224093">
                      <w:pPr>
                        <w:pStyle w:val="Paragraph"/>
                        <w:ind w:firstLine="0"/>
                        <w:jc w:val="thaiDistribute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 xml:space="preserve">X-ray images of an encapsulated chip and a standard line-pair card of </w:t>
                      </w:r>
                      <w:proofErr w:type="spellStart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>LiTb</w:t>
                      </w:r>
                      <w:proofErr w:type="spellEnd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>NaTb</w:t>
                      </w:r>
                      <w:proofErr w:type="spellEnd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 xml:space="preserve"> and </w:t>
                      </w:r>
                      <w:proofErr w:type="spellStart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>KTb</w:t>
                      </w:r>
                      <w:proofErr w:type="spellEnd"/>
                      <w:r w:rsidRPr="00EE3F8D">
                        <w:rPr>
                          <w:i/>
                          <w:iCs/>
                          <w:sz w:val="18"/>
                          <w:szCs w:val="14"/>
                        </w:rPr>
                        <w:t xml:space="preserve"> glasses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B1CFC1D" wp14:editId="0CDFED0D">
            <wp:simplePos x="0" y="0"/>
            <wp:positionH relativeFrom="margin">
              <wp:posOffset>3255645</wp:posOffset>
            </wp:positionH>
            <wp:positionV relativeFrom="margin">
              <wp:posOffset>4892675</wp:posOffset>
            </wp:positionV>
            <wp:extent cx="2818130" cy="3068320"/>
            <wp:effectExtent l="0" t="0" r="1270" b="0"/>
            <wp:wrapSquare wrapText="bothSides"/>
            <wp:docPr id="1876607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306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F8D" w:rsidRPr="00EE3F8D">
        <w:rPr>
          <w:noProof/>
          <w:sz w:val="24"/>
          <w:lang w:val="it-IT" w:eastAsia="it-IT"/>
        </w:rPr>
        <w:t>Tb</w:t>
      </w:r>
      <w:r w:rsidR="00EE3F8D" w:rsidRPr="00EE3F8D">
        <w:rPr>
          <w:noProof/>
          <w:sz w:val="24"/>
          <w:vertAlign w:val="superscript"/>
          <w:lang w:val="it-IT" w:eastAsia="it-IT"/>
        </w:rPr>
        <w:t>3+</w:t>
      </w:r>
      <w:r w:rsidR="00EE3F8D" w:rsidRPr="00EE3F8D">
        <w:rPr>
          <w:noProof/>
          <w:sz w:val="24"/>
          <w:lang w:val="it-IT" w:eastAsia="it-IT"/>
        </w:rPr>
        <w:t>-activated alkali boro-phosphate glasses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>were synthesized via the melt-quenching method and systematically evaluated as scintillator materials for medical X-ray imaging and radiation detector applications. The optical, photoluminescence (PL), decay dynamics, and X-ray-induced luminescence (RL) properties were correlated with local structural features probed by X-ray absorption spectroscopy (XANES/EXAFS).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>Under optical excitation, the glasses exhibit intense green emission centered at 547 nm, originating from the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vertAlign w:val="superscript"/>
          <w:lang w:val="it-IT" w:eastAsia="it-IT"/>
        </w:rPr>
        <w:t>5</w:t>
      </w:r>
      <w:r w:rsidR="00EE3F8D">
        <w:rPr>
          <w:noProof/>
          <w:sz w:val="24"/>
          <w:lang w:val="it-IT" w:eastAsia="it-IT"/>
        </w:rPr>
        <w:t>D</w:t>
      </w:r>
      <w:r w:rsidR="00EE3F8D" w:rsidRPr="00EE3F8D">
        <w:rPr>
          <w:noProof/>
          <w:sz w:val="24"/>
          <w:vertAlign w:val="subscript"/>
          <w:lang w:val="it-IT" w:eastAsia="it-IT"/>
        </w:rPr>
        <w:t>4</w:t>
      </w:r>
      <w:r w:rsidR="00EE3F8D" w:rsidRPr="00EE3F8D">
        <w:rPr>
          <w:noProof/>
          <w:sz w:val="24"/>
          <w:lang w:val="it-IT" w:eastAsia="it-IT"/>
        </w:rPr>
        <w:t xml:space="preserve"> → </w:t>
      </w:r>
      <w:r w:rsidR="00EE3F8D" w:rsidRPr="00EE3F8D">
        <w:rPr>
          <w:noProof/>
          <w:sz w:val="24"/>
          <w:vertAlign w:val="superscript"/>
          <w:lang w:val="it-IT" w:eastAsia="it-IT"/>
        </w:rPr>
        <w:t>7</w:t>
      </w:r>
      <w:r w:rsidR="00EE3F8D">
        <w:rPr>
          <w:noProof/>
          <w:sz w:val="24"/>
          <w:lang w:val="it-IT" w:eastAsia="it-IT"/>
        </w:rPr>
        <w:t>F</w:t>
      </w:r>
      <w:r w:rsidR="00EE3F8D" w:rsidRPr="00EE3F8D">
        <w:rPr>
          <w:noProof/>
          <w:sz w:val="24"/>
          <w:vertAlign w:val="subscript"/>
          <w:lang w:val="it-IT" w:eastAsia="it-IT"/>
        </w:rPr>
        <w:t>5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>transition of Tb</w:t>
      </w:r>
      <w:r w:rsidR="00EE3F8D" w:rsidRPr="00EE3F8D">
        <w:rPr>
          <w:noProof/>
          <w:sz w:val="24"/>
          <w:vertAlign w:val="superscript"/>
          <w:lang w:val="it-IT" w:eastAsia="it-IT"/>
        </w:rPr>
        <w:t>3+</w:t>
      </w:r>
      <w:r w:rsidR="00EE3F8D">
        <w:rPr>
          <w:noProof/>
          <w:sz w:val="24"/>
          <w:vertAlign w:val="superscript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 xml:space="preserve">ions. Efficient energy transfer from </w:t>
      </w:r>
      <w:r w:rsidR="00EE3F8D">
        <w:rPr>
          <w:noProof/>
          <w:sz w:val="24"/>
          <w:lang w:val="it-IT" w:eastAsia="it-IT"/>
        </w:rPr>
        <w:t>Gd</w:t>
      </w:r>
      <w:r w:rsidR="00EE3F8D" w:rsidRPr="00EE3F8D">
        <w:rPr>
          <w:noProof/>
          <w:sz w:val="24"/>
          <w:vertAlign w:val="superscript"/>
          <w:lang w:val="it-IT" w:eastAsia="it-IT"/>
        </w:rPr>
        <w:t>3+</w:t>
      </w:r>
      <w:r w:rsidR="00EE3F8D" w:rsidRPr="00EE3F8D">
        <w:rPr>
          <w:noProof/>
          <w:sz w:val="24"/>
          <w:lang w:val="it-IT" w:eastAsia="it-IT"/>
        </w:rPr>
        <w:t xml:space="preserve"> to Tb</w:t>
      </w:r>
      <w:r w:rsidR="00EE3F8D" w:rsidRPr="00EE3F8D">
        <w:rPr>
          <w:noProof/>
          <w:sz w:val="24"/>
          <w:vertAlign w:val="superscript"/>
          <w:lang w:val="it-IT" w:eastAsia="it-IT"/>
        </w:rPr>
        <w:t>3+</w:t>
      </w:r>
      <w:r w:rsidR="00EE3F8D">
        <w:rPr>
          <w:noProof/>
          <w:sz w:val="24"/>
          <w:vertAlign w:val="superscript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 xml:space="preserve">was confirmed through excitation spectra and lifetime analysis, with transfer efficiencies reaching 76%. </w:t>
      </w:r>
      <w:r w:rsidR="00EE3F8D" w:rsidRPr="00EE3F8D">
        <w:rPr>
          <w:noProof/>
          <w:spacing w:val="-4"/>
          <w:sz w:val="24"/>
          <w:lang w:val="it-IT" w:eastAsia="it-IT"/>
        </w:rPr>
        <w:t>Structural analysis reveals stable trivalent Tb</w:t>
      </w:r>
      <w:r w:rsidR="00EE3F8D" w:rsidRPr="00EE3F8D">
        <w:rPr>
          <w:noProof/>
          <w:spacing w:val="-4"/>
          <w:sz w:val="24"/>
          <w:vertAlign w:val="superscript"/>
          <w:lang w:val="it-IT" w:eastAsia="it-IT"/>
        </w:rPr>
        <w:t xml:space="preserve">3+ </w:t>
      </w:r>
      <w:r w:rsidR="00EE3F8D" w:rsidRPr="00EE3F8D">
        <w:rPr>
          <w:noProof/>
          <w:spacing w:val="-4"/>
          <w:sz w:val="24"/>
          <w:lang w:val="it-IT" w:eastAsia="it-IT"/>
        </w:rPr>
        <w:t>ions coordinated by oxygen in a distorted environment, which plays a crucial role in enhancing radiative transitions. Upon X-ray excitation (50 kV, 30mA), all samples</w:t>
      </w:r>
      <w:r w:rsidR="00EE3F8D" w:rsidRPr="00EE3F8D">
        <w:rPr>
          <w:noProof/>
          <w:sz w:val="24"/>
          <w:lang w:val="it-IT" w:eastAsia="it-IT"/>
        </w:rPr>
        <w:t xml:space="preserve"> demonstrate strong radioluminescence with emission bands well matched to the spectral sensitivity of common photodetectors used in medical imaging systems. The glass containing 2.0 mol%</w:t>
      </w:r>
      <w:r w:rsidR="00EE3F8D">
        <w:rPr>
          <w:noProof/>
          <w:sz w:val="24"/>
          <w:lang w:val="it-IT" w:eastAsia="it-IT"/>
        </w:rPr>
        <w:t xml:space="preserve"> Tb</w:t>
      </w:r>
      <w:r w:rsidR="00EE3F8D" w:rsidRPr="00EE3F8D">
        <w:rPr>
          <w:noProof/>
          <w:sz w:val="24"/>
          <w:vertAlign w:val="subscript"/>
          <w:lang w:val="it-IT" w:eastAsia="it-IT"/>
        </w:rPr>
        <w:t>2</w:t>
      </w:r>
      <w:r w:rsidR="00EE3F8D">
        <w:rPr>
          <w:noProof/>
          <w:sz w:val="24"/>
          <w:lang w:val="it-IT" w:eastAsia="it-IT"/>
        </w:rPr>
        <w:t>O</w:t>
      </w:r>
      <w:r w:rsidR="00EE3F8D" w:rsidRPr="00EE3F8D">
        <w:rPr>
          <w:noProof/>
          <w:sz w:val="24"/>
          <w:vertAlign w:val="subscript"/>
          <w:lang w:val="it-IT" w:eastAsia="it-IT"/>
        </w:rPr>
        <w:t>3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 xml:space="preserve">achieves an integral scintillation efficiency </w:t>
      </w:r>
      <w:r w:rsidR="00EE3F8D">
        <w:rPr>
          <w:noProof/>
          <w:sz w:val="24"/>
          <w:lang w:val="it-IT" w:eastAsia="it-IT"/>
        </w:rPr>
        <w:t>more than 50%</w:t>
      </w:r>
      <w:r w:rsidR="00EE3F8D" w:rsidRPr="00EE3F8D">
        <w:rPr>
          <w:noProof/>
          <w:sz w:val="24"/>
          <w:lang w:val="it-IT" w:eastAsia="it-IT"/>
        </w:rPr>
        <w:t xml:space="preserve"> relative to commercial BGO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>scintillators. Moreover, X-ray imaging tests using a standard line-pair confirm a spatial resolution of up to</w:t>
      </w:r>
      <w:r w:rsidR="00EE3F8D">
        <w:rPr>
          <w:noProof/>
          <w:sz w:val="24"/>
          <w:lang w:val="it-IT" w:eastAsia="it-IT"/>
        </w:rPr>
        <w:t xml:space="preserve"> 10 lp</w:t>
      </w:r>
      <w:r w:rsidR="00EE3F8D">
        <w:rPr>
          <w:noProof/>
          <w:sz w:val="24"/>
          <w:lang w:val="it-IT" w:eastAsia="it-IT"/>
        </w:rPr>
        <w:sym w:font="Wingdings 2" w:char="F095"/>
      </w:r>
      <w:r w:rsidR="00EE3F8D">
        <w:rPr>
          <w:noProof/>
          <w:sz w:val="24"/>
          <w:lang w:val="it-IT" w:eastAsia="it-IT"/>
        </w:rPr>
        <w:t>mm</w:t>
      </w:r>
      <w:r w:rsidR="00EE3F8D" w:rsidRPr="00EE3F8D">
        <w:rPr>
          <w:noProof/>
          <w:sz w:val="24"/>
          <w:vertAlign w:val="superscript"/>
          <w:lang w:val="it-IT" w:eastAsia="it-IT"/>
        </w:rPr>
        <w:t>-1</w:t>
      </w:r>
      <w:r w:rsidR="00EE3F8D" w:rsidRPr="00EE3F8D">
        <w:rPr>
          <w:noProof/>
          <w:sz w:val="24"/>
          <w:lang w:val="it-IT" w:eastAsia="it-IT"/>
        </w:rPr>
        <w:t>, demonstrating the capability of these glasses for high-resolution imaging.</w:t>
      </w:r>
      <w:r w:rsidR="00EE3F8D">
        <w:rPr>
          <w:noProof/>
          <w:sz w:val="24"/>
          <w:lang w:val="it-IT" w:eastAsia="it-IT"/>
        </w:rPr>
        <w:t xml:space="preserve"> </w:t>
      </w:r>
      <w:r w:rsidR="00EE3F8D" w:rsidRPr="00EE3F8D">
        <w:rPr>
          <w:noProof/>
          <w:sz w:val="24"/>
          <w:lang w:val="it-IT" w:eastAsia="it-IT"/>
        </w:rPr>
        <w:t>These findings highlight Tb³⁺-doped alkali boro-phosphate glasses as promising, cost-effective scintillator candidates for medical X-ray detectors, offering competitive scintillation efficiency, tunable structural properties, and excellent imaging performance.</w:t>
      </w:r>
    </w:p>
    <w:p w14:paraId="6E7F6A16" w14:textId="7BC3A4E1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F4DCECF" w14:textId="596559FD" w:rsidR="0035680F" w:rsidRPr="005E444B" w:rsidRDefault="0035680F" w:rsidP="00962C3C">
      <w:pPr>
        <w:pStyle w:val="Paragraph"/>
        <w:ind w:firstLine="0"/>
        <w:jc w:val="both"/>
        <w:rPr>
          <w:rFonts w:cstheme="minorBidi"/>
          <w:sz w:val="24"/>
          <w:lang w:bidi="th-TH"/>
        </w:rPr>
      </w:pPr>
    </w:p>
    <w:sectPr w:rsidR="0035680F" w:rsidRPr="005E444B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4AA5" w14:textId="77777777" w:rsidR="001100E8" w:rsidRDefault="001100E8" w:rsidP="003E14F0">
      <w:r>
        <w:separator/>
      </w:r>
    </w:p>
  </w:endnote>
  <w:endnote w:type="continuationSeparator" w:id="0">
    <w:p w14:paraId="34712D88" w14:textId="77777777" w:rsidR="001100E8" w:rsidRDefault="001100E8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28DA" w14:textId="77777777" w:rsidR="001100E8" w:rsidRDefault="001100E8" w:rsidP="003E14F0">
      <w:r>
        <w:separator/>
      </w:r>
    </w:p>
  </w:footnote>
  <w:footnote w:type="continuationSeparator" w:id="0">
    <w:p w14:paraId="63EDA4EE" w14:textId="77777777" w:rsidR="001100E8" w:rsidRDefault="001100E8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11A17"/>
    <w:rsid w:val="00023BF7"/>
    <w:rsid w:val="0006390B"/>
    <w:rsid w:val="00064EEE"/>
    <w:rsid w:val="00082943"/>
    <w:rsid w:val="00085FC9"/>
    <w:rsid w:val="000A00A3"/>
    <w:rsid w:val="000C2F06"/>
    <w:rsid w:val="000D1336"/>
    <w:rsid w:val="000E55F0"/>
    <w:rsid w:val="00101F2B"/>
    <w:rsid w:val="00106416"/>
    <w:rsid w:val="001100E8"/>
    <w:rsid w:val="00151332"/>
    <w:rsid w:val="001562AE"/>
    <w:rsid w:val="001A29C1"/>
    <w:rsid w:val="001B6CB3"/>
    <w:rsid w:val="001E1333"/>
    <w:rsid w:val="00202884"/>
    <w:rsid w:val="00213A23"/>
    <w:rsid w:val="00224093"/>
    <w:rsid w:val="00242EF7"/>
    <w:rsid w:val="00255317"/>
    <w:rsid w:val="002B3B85"/>
    <w:rsid w:val="002D1AF0"/>
    <w:rsid w:val="002F203B"/>
    <w:rsid w:val="003037B8"/>
    <w:rsid w:val="00312617"/>
    <w:rsid w:val="003453BD"/>
    <w:rsid w:val="0035680F"/>
    <w:rsid w:val="0039136E"/>
    <w:rsid w:val="003C089C"/>
    <w:rsid w:val="003D0683"/>
    <w:rsid w:val="003D48AF"/>
    <w:rsid w:val="003E14F0"/>
    <w:rsid w:val="003F7751"/>
    <w:rsid w:val="00412BD8"/>
    <w:rsid w:val="0044547B"/>
    <w:rsid w:val="004557DE"/>
    <w:rsid w:val="00463713"/>
    <w:rsid w:val="004725F0"/>
    <w:rsid w:val="00480450"/>
    <w:rsid w:val="004D05B0"/>
    <w:rsid w:val="004E2CA5"/>
    <w:rsid w:val="004F0676"/>
    <w:rsid w:val="005036DC"/>
    <w:rsid w:val="0053338A"/>
    <w:rsid w:val="0056575C"/>
    <w:rsid w:val="005B788F"/>
    <w:rsid w:val="005E444B"/>
    <w:rsid w:val="00600327"/>
    <w:rsid w:val="006251A4"/>
    <w:rsid w:val="006265B5"/>
    <w:rsid w:val="00650C19"/>
    <w:rsid w:val="00677C23"/>
    <w:rsid w:val="006B43A6"/>
    <w:rsid w:val="00721613"/>
    <w:rsid w:val="00727A7A"/>
    <w:rsid w:val="0074076B"/>
    <w:rsid w:val="00744DE7"/>
    <w:rsid w:val="00766E14"/>
    <w:rsid w:val="007724D1"/>
    <w:rsid w:val="007C2CC9"/>
    <w:rsid w:val="007C54E7"/>
    <w:rsid w:val="008203D2"/>
    <w:rsid w:val="00844BEE"/>
    <w:rsid w:val="00862500"/>
    <w:rsid w:val="00864EAA"/>
    <w:rsid w:val="0087737C"/>
    <w:rsid w:val="00880EBB"/>
    <w:rsid w:val="0089652F"/>
    <w:rsid w:val="008A08C8"/>
    <w:rsid w:val="008D6EA7"/>
    <w:rsid w:val="008E5117"/>
    <w:rsid w:val="008F5392"/>
    <w:rsid w:val="009103B3"/>
    <w:rsid w:val="00911DD4"/>
    <w:rsid w:val="009535BD"/>
    <w:rsid w:val="00962C3C"/>
    <w:rsid w:val="0097001E"/>
    <w:rsid w:val="0097616E"/>
    <w:rsid w:val="00980122"/>
    <w:rsid w:val="009860C0"/>
    <w:rsid w:val="009966EA"/>
    <w:rsid w:val="009A2FF0"/>
    <w:rsid w:val="00A12007"/>
    <w:rsid w:val="00A2710E"/>
    <w:rsid w:val="00A51E80"/>
    <w:rsid w:val="00A5573B"/>
    <w:rsid w:val="00B044BD"/>
    <w:rsid w:val="00B10A68"/>
    <w:rsid w:val="00B248C9"/>
    <w:rsid w:val="00B4555E"/>
    <w:rsid w:val="00B53D22"/>
    <w:rsid w:val="00BA1F17"/>
    <w:rsid w:val="00BA385D"/>
    <w:rsid w:val="00BC1954"/>
    <w:rsid w:val="00BC1EA1"/>
    <w:rsid w:val="00BE06A6"/>
    <w:rsid w:val="00C37DD7"/>
    <w:rsid w:val="00C64C57"/>
    <w:rsid w:val="00C758A1"/>
    <w:rsid w:val="00C870D2"/>
    <w:rsid w:val="00CB4E6E"/>
    <w:rsid w:val="00CD37BE"/>
    <w:rsid w:val="00D01EBC"/>
    <w:rsid w:val="00D44933"/>
    <w:rsid w:val="00D80676"/>
    <w:rsid w:val="00D956BD"/>
    <w:rsid w:val="00DD1157"/>
    <w:rsid w:val="00E055AA"/>
    <w:rsid w:val="00E824A3"/>
    <w:rsid w:val="00E92657"/>
    <w:rsid w:val="00E92B11"/>
    <w:rsid w:val="00EE3F8D"/>
    <w:rsid w:val="00F53E8A"/>
    <w:rsid w:val="00F62524"/>
    <w:rsid w:val="00F97D6A"/>
    <w:rsid w:val="00FA0157"/>
    <w:rsid w:val="00FA6699"/>
    <w:rsid w:val="00FB4185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uchjaree.kiw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2675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Nuchjaree Kiwsakunkran</cp:lastModifiedBy>
  <cp:revision>2</cp:revision>
  <cp:lastPrinted>2012-01-20T14:14:00Z</cp:lastPrinted>
  <dcterms:created xsi:type="dcterms:W3CDTF">2026-01-28T03:25:00Z</dcterms:created>
  <dcterms:modified xsi:type="dcterms:W3CDTF">2026-01-28T03:25:00Z</dcterms:modified>
</cp:coreProperties>
</file>