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C74C" w14:textId="7AF3B282" w:rsidR="0071057B" w:rsidRDefault="004E45A6" w:rsidP="004E45A6">
      <w:pPr>
        <w:jc w:val="center"/>
        <w:rPr>
          <w:rFonts w:asciiTheme="majorBidi" w:hAnsiTheme="majorBidi" w:cstheme="majorBidi"/>
          <w:sz w:val="40"/>
          <w:szCs w:val="40"/>
        </w:rPr>
      </w:pPr>
      <w:r w:rsidRPr="004E45A6">
        <w:rPr>
          <w:rFonts w:asciiTheme="majorBidi" w:hAnsiTheme="majorBidi" w:cstheme="majorBidi"/>
          <w:sz w:val="40"/>
          <w:szCs w:val="40"/>
        </w:rPr>
        <w:t>Cross-Facility Characterization of Neutron Imaging</w:t>
      </w:r>
      <w:r w:rsidR="007734BB">
        <w:rPr>
          <w:rFonts w:asciiTheme="majorBidi" w:hAnsiTheme="majorBidi" w:cstheme="majorBidi"/>
          <w:sz w:val="40"/>
          <w:szCs w:val="40"/>
        </w:rPr>
        <w:t>:</w:t>
      </w:r>
      <w:r w:rsidRPr="004E45A6">
        <w:rPr>
          <w:rFonts w:asciiTheme="majorBidi" w:hAnsiTheme="majorBidi" w:cstheme="majorBidi"/>
          <w:sz w:val="40"/>
          <w:szCs w:val="40"/>
        </w:rPr>
        <w:t xml:space="preserve"> CROCUS Zero-Power Reactor versus SINQ Spallation Source</w:t>
      </w:r>
    </w:p>
    <w:p w14:paraId="256E7EAD" w14:textId="18456C5E" w:rsidR="00617A37" w:rsidRDefault="00617A37" w:rsidP="004E45A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Michel Saliba</w:t>
      </w:r>
      <w:r>
        <w:rPr>
          <w:rFonts w:asciiTheme="majorBidi" w:hAnsiTheme="majorBidi" w:cstheme="majorBidi"/>
          <w:sz w:val="28"/>
          <w:szCs w:val="28"/>
          <w:vertAlign w:val="superscript"/>
        </w:rPr>
        <w:t>1,*</w:t>
      </w:r>
      <w:r>
        <w:rPr>
          <w:rFonts w:asciiTheme="majorBidi" w:hAnsiTheme="majorBidi" w:cstheme="majorBidi"/>
          <w:sz w:val="28"/>
          <w:szCs w:val="28"/>
        </w:rPr>
        <w:t>, Eberhard Lehmann</w:t>
      </w:r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r>
        <w:rPr>
          <w:rFonts w:asciiTheme="majorBidi" w:hAnsiTheme="majorBidi" w:cstheme="majorBidi"/>
          <w:sz w:val="28"/>
          <w:szCs w:val="28"/>
        </w:rPr>
        <w:t>, Pavel Trtik</w:t>
      </w:r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r>
        <w:rPr>
          <w:rFonts w:asciiTheme="majorBidi" w:hAnsiTheme="majorBidi" w:cstheme="majorBidi"/>
          <w:sz w:val="28"/>
          <w:szCs w:val="28"/>
        </w:rPr>
        <w:t>, Vincent Lamirand</w:t>
      </w:r>
      <w:r>
        <w:rPr>
          <w:rFonts w:asciiTheme="majorBidi" w:hAnsiTheme="majorBidi" w:cstheme="majorBidi"/>
          <w:sz w:val="28"/>
          <w:szCs w:val="28"/>
          <w:vertAlign w:val="superscript"/>
        </w:rPr>
        <w:t>1</w:t>
      </w:r>
      <w:r w:rsidR="005250A8">
        <w:rPr>
          <w:rFonts w:asciiTheme="majorBidi" w:hAnsiTheme="majorBidi" w:cstheme="majorBidi"/>
          <w:sz w:val="28"/>
          <w:szCs w:val="28"/>
        </w:rPr>
        <w:t>, Andreas Pautz</w:t>
      </w:r>
      <w:r w:rsidR="005250A8">
        <w:rPr>
          <w:rFonts w:asciiTheme="majorBidi" w:hAnsiTheme="majorBidi" w:cstheme="majorBidi"/>
          <w:sz w:val="28"/>
          <w:szCs w:val="28"/>
          <w:vertAlign w:val="superscript"/>
        </w:rPr>
        <w:t>1,3</w:t>
      </w:r>
      <w:r w:rsidR="005250A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and Oskari Pakari</w:t>
      </w:r>
      <w:r>
        <w:rPr>
          <w:rFonts w:asciiTheme="majorBidi" w:hAnsiTheme="majorBidi" w:cstheme="majorBidi"/>
          <w:sz w:val="28"/>
          <w:szCs w:val="28"/>
          <w:vertAlign w:val="superscript"/>
        </w:rPr>
        <w:t>1,3</w:t>
      </w:r>
    </w:p>
    <w:p w14:paraId="601510B7" w14:textId="77777777" w:rsidR="00617A37" w:rsidRDefault="00617A37" w:rsidP="004C3148">
      <w:pPr>
        <w:spacing w:line="240" w:lineRule="auto"/>
        <w:jc w:val="center"/>
        <w:rPr>
          <w:rFonts w:asciiTheme="majorBidi" w:hAnsiTheme="majorBidi" w:cstheme="majorBidi"/>
        </w:rPr>
      </w:pPr>
      <w:r w:rsidRPr="00617A37">
        <w:rPr>
          <w:rFonts w:asciiTheme="majorBidi" w:hAnsiTheme="majorBidi" w:cstheme="majorBidi"/>
          <w:vertAlign w:val="superscript"/>
        </w:rPr>
        <w:t>1</w:t>
      </w:r>
      <w:r w:rsidRPr="00617A37">
        <w:rPr>
          <w:rFonts w:asciiTheme="majorBidi" w:hAnsiTheme="majorBidi" w:cstheme="majorBidi"/>
        </w:rPr>
        <w:t>EPFL, Laboratory of Reactor Physics and System Behavior,</w:t>
      </w:r>
      <w:r>
        <w:rPr>
          <w:rFonts w:asciiTheme="majorBidi" w:hAnsiTheme="majorBidi" w:cstheme="majorBidi"/>
        </w:rPr>
        <w:t xml:space="preserve"> </w:t>
      </w:r>
    </w:p>
    <w:p w14:paraId="2A961843" w14:textId="655DF1E0" w:rsidR="00617A37" w:rsidRPr="00617A37" w:rsidRDefault="00617A37" w:rsidP="004C3148">
      <w:pPr>
        <w:spacing w:line="240" w:lineRule="auto"/>
        <w:jc w:val="center"/>
        <w:rPr>
          <w:rFonts w:asciiTheme="majorBidi" w:hAnsiTheme="majorBidi" w:cstheme="majorBidi"/>
        </w:rPr>
      </w:pPr>
      <w:r w:rsidRPr="00617A37">
        <w:rPr>
          <w:rFonts w:asciiTheme="majorBidi" w:hAnsiTheme="majorBidi" w:cstheme="majorBidi"/>
        </w:rPr>
        <w:t>1015 Lausanne, Switzerland</w:t>
      </w:r>
    </w:p>
    <w:p w14:paraId="61864D4D" w14:textId="77777777" w:rsidR="00617A37" w:rsidRDefault="00617A37" w:rsidP="004C3148">
      <w:pPr>
        <w:spacing w:line="240" w:lineRule="auto"/>
        <w:jc w:val="center"/>
        <w:rPr>
          <w:rFonts w:asciiTheme="majorBidi" w:hAnsiTheme="majorBidi" w:cstheme="majorBidi"/>
        </w:rPr>
      </w:pPr>
      <w:r w:rsidRPr="00617A37">
        <w:rPr>
          <w:rFonts w:asciiTheme="majorBidi" w:hAnsiTheme="majorBidi" w:cstheme="majorBidi"/>
          <w:vertAlign w:val="superscript"/>
        </w:rPr>
        <w:t>2</w:t>
      </w:r>
      <w:r w:rsidRPr="00617A37">
        <w:rPr>
          <w:rFonts w:asciiTheme="majorBidi" w:hAnsiTheme="majorBidi" w:cstheme="majorBidi"/>
        </w:rPr>
        <w:t>PSI Center for Neutron and Muon Sciences,</w:t>
      </w:r>
      <w:r>
        <w:rPr>
          <w:rFonts w:asciiTheme="majorBidi" w:hAnsiTheme="majorBidi" w:cstheme="majorBidi"/>
        </w:rPr>
        <w:t xml:space="preserve"> </w:t>
      </w:r>
    </w:p>
    <w:p w14:paraId="7F23CA02" w14:textId="232F1D5D" w:rsidR="00617A37" w:rsidRPr="00617A37" w:rsidRDefault="00617A37" w:rsidP="004C3148">
      <w:pPr>
        <w:spacing w:line="240" w:lineRule="auto"/>
        <w:jc w:val="center"/>
        <w:rPr>
          <w:rFonts w:asciiTheme="majorBidi" w:hAnsiTheme="majorBidi" w:cstheme="majorBidi"/>
        </w:rPr>
      </w:pPr>
      <w:r w:rsidRPr="00617A37">
        <w:rPr>
          <w:rFonts w:asciiTheme="majorBidi" w:hAnsiTheme="majorBidi" w:cstheme="majorBidi"/>
        </w:rPr>
        <w:t>5232 Villigen, Switzerland</w:t>
      </w:r>
    </w:p>
    <w:p w14:paraId="43242E43" w14:textId="77777777" w:rsidR="00617A37" w:rsidRDefault="00617A37" w:rsidP="004C3148">
      <w:pPr>
        <w:spacing w:line="240" w:lineRule="auto"/>
        <w:jc w:val="center"/>
        <w:rPr>
          <w:rFonts w:asciiTheme="majorBidi" w:hAnsiTheme="majorBidi" w:cstheme="majorBidi"/>
        </w:rPr>
      </w:pPr>
      <w:r w:rsidRPr="00617A37">
        <w:rPr>
          <w:rFonts w:asciiTheme="majorBidi" w:hAnsiTheme="majorBidi" w:cstheme="majorBidi"/>
          <w:vertAlign w:val="superscript"/>
        </w:rPr>
        <w:t>3</w:t>
      </w:r>
      <w:r w:rsidRPr="00617A37">
        <w:rPr>
          <w:rFonts w:asciiTheme="majorBidi" w:hAnsiTheme="majorBidi" w:cstheme="majorBidi"/>
        </w:rPr>
        <w:t>PSI Center for Nuclear Engineering and Sciences,</w:t>
      </w:r>
    </w:p>
    <w:p w14:paraId="7BFD091E" w14:textId="78507EFA" w:rsidR="00617A37" w:rsidRPr="00617A37" w:rsidRDefault="00617A37" w:rsidP="004C3148">
      <w:pPr>
        <w:spacing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Pr="00617A37">
        <w:rPr>
          <w:rFonts w:asciiTheme="majorBidi" w:hAnsiTheme="majorBidi" w:cstheme="majorBidi"/>
        </w:rPr>
        <w:t>5232 Villigen, Switzerland</w:t>
      </w:r>
    </w:p>
    <w:p w14:paraId="718D2419" w14:textId="45F43086" w:rsidR="004E45A6" w:rsidRDefault="004E45A6" w:rsidP="004E45A6">
      <w:pPr>
        <w:rPr>
          <w:rFonts w:asciiTheme="majorBidi" w:hAnsiTheme="majorBidi" w:cstheme="majorBidi"/>
          <w:sz w:val="40"/>
          <w:szCs w:val="40"/>
        </w:rPr>
      </w:pPr>
    </w:p>
    <w:p w14:paraId="5B86DDA7" w14:textId="27E8FABF" w:rsidR="004E45A6" w:rsidRDefault="004E45A6" w:rsidP="004E45A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Abstract:</w:t>
      </w:r>
    </w:p>
    <w:p w14:paraId="597C3E35" w14:textId="0F7E7C24" w:rsidR="002331B8" w:rsidRPr="002331B8" w:rsidRDefault="002331B8" w:rsidP="002331B8">
      <w:pPr>
        <w:rPr>
          <w:rFonts w:asciiTheme="majorBidi" w:hAnsiTheme="majorBidi" w:cstheme="majorBidi"/>
          <w:sz w:val="22"/>
          <w:szCs w:val="22"/>
        </w:rPr>
      </w:pPr>
      <w:r w:rsidRPr="002331B8">
        <w:rPr>
          <w:rFonts w:asciiTheme="majorBidi" w:hAnsiTheme="majorBidi" w:cstheme="majorBidi"/>
          <w:sz w:val="22"/>
          <w:szCs w:val="22"/>
        </w:rPr>
        <w:t xml:space="preserve">While large-scale facilities like SINQ remain the gold standard for high-flux neutron research, they are increasingly oversubscribed and geographically centralized. The recent closure of several regional reactors has created a void for rapid prototyping and long-duration experiments. Addressing this gap is a core objective of the IAEA Coordinated Research Project (CRP) F12027, which aims to enhance the utilization of research reactors for practical neutron imaging applications. In alignment with this mission, we </w:t>
      </w:r>
      <w:r w:rsidR="005114A8">
        <w:rPr>
          <w:rFonts w:asciiTheme="majorBidi" w:hAnsiTheme="majorBidi" w:cstheme="majorBidi"/>
          <w:sz w:val="22"/>
          <w:szCs w:val="22"/>
        </w:rPr>
        <w:t>herein</w:t>
      </w:r>
      <w:r w:rsidR="00590385">
        <w:rPr>
          <w:rFonts w:asciiTheme="majorBidi" w:hAnsiTheme="majorBidi" w:cstheme="majorBidi"/>
          <w:sz w:val="22"/>
          <w:szCs w:val="22"/>
        </w:rPr>
        <w:t xml:space="preserve"> evaluate</w:t>
      </w:r>
      <w:r w:rsidRPr="002331B8">
        <w:rPr>
          <w:rFonts w:asciiTheme="majorBidi" w:hAnsiTheme="majorBidi" w:cstheme="majorBidi"/>
          <w:sz w:val="22"/>
          <w:szCs w:val="22"/>
        </w:rPr>
        <w:t xml:space="preserve"> the zero-power CROCUS reactor (100 W)</w:t>
      </w:r>
      <w:r w:rsidR="00590385">
        <w:rPr>
          <w:rFonts w:asciiTheme="majorBidi" w:hAnsiTheme="majorBidi" w:cstheme="majorBidi"/>
          <w:sz w:val="22"/>
          <w:szCs w:val="22"/>
        </w:rPr>
        <w:t xml:space="preserve"> as a complementary source for neutron imaging</w:t>
      </w:r>
      <w:r w:rsidRPr="002331B8">
        <w:rPr>
          <w:rFonts w:asciiTheme="majorBidi" w:hAnsiTheme="majorBidi" w:cstheme="majorBidi"/>
          <w:sz w:val="22"/>
          <w:szCs w:val="22"/>
        </w:rPr>
        <w:t>.</w:t>
      </w:r>
    </w:p>
    <w:p w14:paraId="0E6B5D62" w14:textId="781A7FA1" w:rsidR="002331B8" w:rsidRPr="002331B8" w:rsidRDefault="00590385" w:rsidP="002331B8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W</w:t>
      </w:r>
      <w:r w:rsidR="002331B8" w:rsidRPr="002331B8">
        <w:rPr>
          <w:rFonts w:asciiTheme="majorBidi" w:hAnsiTheme="majorBidi" w:cstheme="majorBidi"/>
          <w:sz w:val="22"/>
          <w:szCs w:val="22"/>
        </w:rPr>
        <w:t>e present a quantitative comparison of neutron imaging performance between the CROCUS reactor and the SINQ spallation source</w:t>
      </w:r>
      <w:r>
        <w:rPr>
          <w:rFonts w:asciiTheme="majorBidi" w:hAnsiTheme="majorBidi" w:cstheme="majorBidi"/>
          <w:sz w:val="22"/>
          <w:szCs w:val="22"/>
        </w:rPr>
        <w:t xml:space="preserve"> using i</w:t>
      </w:r>
      <w:r w:rsidR="002331B8" w:rsidRPr="002331B8">
        <w:rPr>
          <w:rFonts w:asciiTheme="majorBidi" w:hAnsiTheme="majorBidi" w:cstheme="majorBidi"/>
          <w:sz w:val="22"/>
          <w:szCs w:val="22"/>
        </w:rPr>
        <w:t>dentical test samples</w:t>
      </w:r>
      <w:r>
        <w:rPr>
          <w:rFonts w:asciiTheme="majorBidi" w:hAnsiTheme="majorBidi" w:cstheme="majorBidi"/>
          <w:sz w:val="22"/>
          <w:szCs w:val="22"/>
        </w:rPr>
        <w:t xml:space="preserve">. We assessed </w:t>
      </w:r>
      <w:r w:rsidR="002331B8" w:rsidRPr="002331B8">
        <w:rPr>
          <w:rFonts w:asciiTheme="majorBidi" w:hAnsiTheme="majorBidi" w:cstheme="majorBidi"/>
          <w:sz w:val="22"/>
          <w:szCs w:val="22"/>
        </w:rPr>
        <w:t>spatial resolution, signal-to-noise ratio (SNR), and flux statistics. While acquisition times differ by orders of magnitude, we analy</w:t>
      </w:r>
      <w:r w:rsidR="00861C2E">
        <w:rPr>
          <w:rFonts w:asciiTheme="majorBidi" w:hAnsiTheme="majorBidi" w:cstheme="majorBidi"/>
          <w:sz w:val="22"/>
          <w:szCs w:val="22"/>
        </w:rPr>
        <w:t>s</w:t>
      </w:r>
      <w:r w:rsidR="002331B8" w:rsidRPr="002331B8">
        <w:rPr>
          <w:rFonts w:asciiTheme="majorBidi" w:hAnsiTheme="majorBidi" w:cstheme="majorBidi"/>
          <w:sz w:val="22"/>
          <w:szCs w:val="22"/>
        </w:rPr>
        <w:t>e the "information equivalence" of the resulting radiographs to determine the practical detection limits of the low-flux environment.</w:t>
      </w:r>
    </w:p>
    <w:p w14:paraId="47EA422E" w14:textId="33B79E5E" w:rsidR="002331B8" w:rsidRPr="002331B8" w:rsidRDefault="002331B8" w:rsidP="002331B8">
      <w:pPr>
        <w:rPr>
          <w:rFonts w:asciiTheme="majorBidi" w:hAnsiTheme="majorBidi" w:cstheme="majorBidi"/>
          <w:sz w:val="22"/>
          <w:szCs w:val="22"/>
        </w:rPr>
      </w:pPr>
      <w:r w:rsidRPr="002331B8">
        <w:rPr>
          <w:rFonts w:asciiTheme="majorBidi" w:hAnsiTheme="majorBidi" w:cstheme="majorBidi"/>
          <w:sz w:val="22"/>
          <w:szCs w:val="22"/>
        </w:rPr>
        <w:t xml:space="preserve">Our results quantify the trade-offs required to operate at zero power, specifically focusing on how </w:t>
      </w:r>
      <w:r w:rsidR="00590385">
        <w:rPr>
          <w:rFonts w:asciiTheme="majorBidi" w:hAnsiTheme="majorBidi" w:cstheme="majorBidi"/>
          <w:sz w:val="22"/>
          <w:szCs w:val="22"/>
        </w:rPr>
        <w:t>optimized</w:t>
      </w:r>
      <w:r w:rsidR="00590385" w:rsidRPr="002331B8">
        <w:rPr>
          <w:rFonts w:asciiTheme="majorBidi" w:hAnsiTheme="majorBidi" w:cstheme="majorBidi"/>
          <w:sz w:val="22"/>
          <w:szCs w:val="22"/>
        </w:rPr>
        <w:t xml:space="preserve"> </w:t>
      </w:r>
      <w:r w:rsidRPr="002331B8">
        <w:rPr>
          <w:rFonts w:asciiTheme="majorBidi" w:hAnsiTheme="majorBidi" w:cstheme="majorBidi"/>
          <w:sz w:val="22"/>
          <w:szCs w:val="22"/>
        </w:rPr>
        <w:t xml:space="preserve">scintillator selection </w:t>
      </w:r>
      <w:r w:rsidR="00590385">
        <w:rPr>
          <w:rFonts w:asciiTheme="majorBidi" w:hAnsiTheme="majorBidi" w:cstheme="majorBidi"/>
          <w:sz w:val="22"/>
          <w:szCs w:val="22"/>
        </w:rPr>
        <w:t xml:space="preserve">and careful beam design </w:t>
      </w:r>
      <w:r w:rsidRPr="002331B8">
        <w:rPr>
          <w:rFonts w:asciiTheme="majorBidi" w:hAnsiTheme="majorBidi" w:cstheme="majorBidi"/>
          <w:sz w:val="22"/>
          <w:szCs w:val="22"/>
        </w:rPr>
        <w:t xml:space="preserve">can </w:t>
      </w:r>
      <w:r w:rsidR="00590385">
        <w:rPr>
          <w:rFonts w:asciiTheme="majorBidi" w:hAnsiTheme="majorBidi" w:cstheme="majorBidi"/>
          <w:sz w:val="22"/>
          <w:szCs w:val="22"/>
        </w:rPr>
        <w:t>compensate</w:t>
      </w:r>
      <w:r w:rsidR="00590385" w:rsidRPr="002331B8">
        <w:rPr>
          <w:rFonts w:asciiTheme="majorBidi" w:hAnsiTheme="majorBidi" w:cstheme="majorBidi"/>
          <w:sz w:val="22"/>
          <w:szCs w:val="22"/>
        </w:rPr>
        <w:t xml:space="preserve"> </w:t>
      </w:r>
      <w:r w:rsidRPr="002331B8">
        <w:rPr>
          <w:rFonts w:asciiTheme="majorBidi" w:hAnsiTheme="majorBidi" w:cstheme="majorBidi"/>
          <w:sz w:val="22"/>
          <w:szCs w:val="22"/>
        </w:rPr>
        <w:t>for</w:t>
      </w:r>
      <w:r w:rsidR="00590385">
        <w:rPr>
          <w:rFonts w:asciiTheme="majorBidi" w:hAnsiTheme="majorBidi" w:cstheme="majorBidi"/>
          <w:sz w:val="22"/>
          <w:szCs w:val="22"/>
        </w:rPr>
        <w:t xml:space="preserve"> the</w:t>
      </w:r>
      <w:r w:rsidRPr="002331B8">
        <w:rPr>
          <w:rFonts w:asciiTheme="majorBidi" w:hAnsiTheme="majorBidi" w:cstheme="majorBidi"/>
          <w:sz w:val="22"/>
          <w:szCs w:val="22"/>
        </w:rPr>
        <w:t xml:space="preserve"> low neutron fluence. </w:t>
      </w:r>
      <w:r w:rsidR="00590385">
        <w:rPr>
          <w:rFonts w:asciiTheme="majorBidi" w:hAnsiTheme="majorBidi" w:cstheme="majorBidi"/>
          <w:sz w:val="22"/>
          <w:szCs w:val="22"/>
        </w:rPr>
        <w:t>We conclude that</w:t>
      </w:r>
      <w:r w:rsidRPr="002331B8">
        <w:rPr>
          <w:rFonts w:asciiTheme="majorBidi" w:hAnsiTheme="majorBidi" w:cstheme="majorBidi"/>
          <w:sz w:val="22"/>
          <w:szCs w:val="22"/>
        </w:rPr>
        <w:t xml:space="preserve"> CROCUS </w:t>
      </w:r>
      <w:r w:rsidR="00590385">
        <w:rPr>
          <w:rFonts w:asciiTheme="majorBidi" w:hAnsiTheme="majorBidi" w:cstheme="majorBidi"/>
          <w:sz w:val="22"/>
          <w:szCs w:val="22"/>
        </w:rPr>
        <w:t>is</w:t>
      </w:r>
      <w:r w:rsidR="00590385" w:rsidRPr="002331B8">
        <w:rPr>
          <w:rFonts w:asciiTheme="majorBidi" w:hAnsiTheme="majorBidi" w:cstheme="majorBidi"/>
          <w:sz w:val="22"/>
          <w:szCs w:val="22"/>
        </w:rPr>
        <w:t xml:space="preserve"> </w:t>
      </w:r>
      <w:r w:rsidRPr="002331B8">
        <w:rPr>
          <w:rFonts w:asciiTheme="majorBidi" w:hAnsiTheme="majorBidi" w:cstheme="majorBidi"/>
          <w:sz w:val="22"/>
          <w:szCs w:val="22"/>
        </w:rPr>
        <w:t xml:space="preserve">a viable, accessible alternative for specific non-destructive testing applications, </w:t>
      </w:r>
      <w:r w:rsidR="00590385">
        <w:rPr>
          <w:rFonts w:asciiTheme="majorBidi" w:hAnsiTheme="majorBidi" w:cstheme="majorBidi"/>
          <w:sz w:val="22"/>
          <w:szCs w:val="22"/>
        </w:rPr>
        <w:t>capable of</w:t>
      </w:r>
      <w:r w:rsidRPr="002331B8">
        <w:rPr>
          <w:rFonts w:asciiTheme="majorBidi" w:hAnsiTheme="majorBidi" w:cstheme="majorBidi"/>
          <w:sz w:val="22"/>
          <w:szCs w:val="22"/>
        </w:rPr>
        <w:t xml:space="preserve"> </w:t>
      </w:r>
      <w:r w:rsidR="00590385">
        <w:rPr>
          <w:rFonts w:asciiTheme="majorBidi" w:hAnsiTheme="majorBidi" w:cstheme="majorBidi"/>
          <w:sz w:val="22"/>
          <w:szCs w:val="22"/>
        </w:rPr>
        <w:t xml:space="preserve">offloading </w:t>
      </w:r>
      <w:r w:rsidR="00C8719E">
        <w:rPr>
          <w:rFonts w:asciiTheme="majorBidi" w:hAnsiTheme="majorBidi" w:cstheme="majorBidi"/>
          <w:sz w:val="22"/>
          <w:szCs w:val="22"/>
        </w:rPr>
        <w:t xml:space="preserve">preliminary </w:t>
      </w:r>
      <w:r w:rsidR="00590385">
        <w:rPr>
          <w:rFonts w:asciiTheme="majorBidi" w:hAnsiTheme="majorBidi" w:cstheme="majorBidi"/>
          <w:sz w:val="22"/>
          <w:szCs w:val="22"/>
        </w:rPr>
        <w:t>imaging tasks from</w:t>
      </w:r>
      <w:r w:rsidRPr="002331B8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standard</w:t>
      </w:r>
      <w:r w:rsidRPr="002331B8">
        <w:rPr>
          <w:rFonts w:asciiTheme="majorBidi" w:hAnsiTheme="majorBidi" w:cstheme="majorBidi"/>
          <w:sz w:val="22"/>
          <w:szCs w:val="22"/>
        </w:rPr>
        <w:t xml:space="preserve"> neutron sources while fulfilling the IAEA’s mandate for expanded reactor utilization.</w:t>
      </w:r>
    </w:p>
    <w:p w14:paraId="7A59273E" w14:textId="77777777" w:rsidR="004E45A6" w:rsidRPr="004E45A6" w:rsidRDefault="004E45A6" w:rsidP="004E45A6">
      <w:pPr>
        <w:rPr>
          <w:rFonts w:asciiTheme="majorBidi" w:hAnsiTheme="majorBidi" w:cstheme="majorBidi"/>
          <w:sz w:val="32"/>
          <w:szCs w:val="32"/>
        </w:rPr>
      </w:pPr>
    </w:p>
    <w:sectPr w:rsidR="004E45A6" w:rsidRPr="004E4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7B"/>
    <w:rsid w:val="000236E6"/>
    <w:rsid w:val="002331B8"/>
    <w:rsid w:val="002E7D44"/>
    <w:rsid w:val="002F3191"/>
    <w:rsid w:val="003641FD"/>
    <w:rsid w:val="00425F70"/>
    <w:rsid w:val="004C3148"/>
    <w:rsid w:val="004E45A6"/>
    <w:rsid w:val="005114A8"/>
    <w:rsid w:val="005250A8"/>
    <w:rsid w:val="00590385"/>
    <w:rsid w:val="00617A37"/>
    <w:rsid w:val="006D0907"/>
    <w:rsid w:val="0071057B"/>
    <w:rsid w:val="007734BB"/>
    <w:rsid w:val="007C6F4A"/>
    <w:rsid w:val="00861C2E"/>
    <w:rsid w:val="00895403"/>
    <w:rsid w:val="00961094"/>
    <w:rsid w:val="00A94654"/>
    <w:rsid w:val="00C8719E"/>
    <w:rsid w:val="00D70310"/>
    <w:rsid w:val="00D8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4E7A"/>
  <w15:chartTrackingRefBased/>
  <w15:docId w15:val="{0B15337A-03E2-461F-A097-14F2E1D6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7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73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Saliba</dc:creator>
  <cp:keywords/>
  <dc:description/>
  <cp:lastModifiedBy>Michel Saliba</cp:lastModifiedBy>
  <cp:revision>11</cp:revision>
  <dcterms:created xsi:type="dcterms:W3CDTF">2026-01-15T08:50:00Z</dcterms:created>
  <dcterms:modified xsi:type="dcterms:W3CDTF">2026-01-15T13:34:00Z</dcterms:modified>
</cp:coreProperties>
</file>