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B221" w14:textId="1AE85892" w:rsidR="00085FC9" w:rsidRDefault="00D2598A" w:rsidP="00D2598A">
      <w:pPr>
        <w:jc w:val="center"/>
        <w:rPr>
          <w:b/>
          <w:sz w:val="24"/>
        </w:rPr>
      </w:pPr>
      <w:r w:rsidRPr="00D2598A">
        <w:rPr>
          <w:b/>
          <w:sz w:val="24"/>
        </w:rPr>
        <w:t xml:space="preserve">Chemical Preparation Methods of ZnO and </w:t>
      </w:r>
      <w:proofErr w:type="spellStart"/>
      <w:r w:rsidRPr="00D2598A">
        <w:rPr>
          <w:b/>
          <w:sz w:val="24"/>
        </w:rPr>
        <w:t>ZnO:Ga</w:t>
      </w:r>
      <w:proofErr w:type="spellEnd"/>
      <w:r w:rsidRPr="00D2598A">
        <w:rPr>
          <w:b/>
          <w:sz w:val="24"/>
        </w:rPr>
        <w:t xml:space="preserve"> Films on BGO Substrates  for </w:t>
      </w:r>
      <w:r>
        <w:rPr>
          <w:b/>
          <w:sz w:val="24"/>
        </w:rPr>
        <w:br/>
      </w:r>
      <w:r w:rsidRPr="00D2598A">
        <w:rPr>
          <w:b/>
          <w:sz w:val="24"/>
        </w:rPr>
        <w:t>Efficient γ-ray Detection</w:t>
      </w:r>
    </w:p>
    <w:p w14:paraId="55069724" w14:textId="77777777" w:rsidR="00D2598A" w:rsidRPr="00663F85" w:rsidRDefault="00D2598A" w:rsidP="00D2598A">
      <w:pPr>
        <w:jc w:val="center"/>
        <w:rPr>
          <w:b/>
          <w:sz w:val="24"/>
        </w:rPr>
      </w:pPr>
    </w:p>
    <w:p w14:paraId="5BF4495D" w14:textId="77777777" w:rsidR="00D2598A" w:rsidRPr="00D2598A" w:rsidRDefault="00D2598A" w:rsidP="00D2598A">
      <w:pPr>
        <w:jc w:val="center"/>
        <w:rPr>
          <w:sz w:val="24"/>
          <w:lang w:val="pl-PL"/>
        </w:rPr>
      </w:pPr>
      <w:r w:rsidRPr="00D2598A">
        <w:rPr>
          <w:sz w:val="24"/>
          <w:lang w:val="pl-PL"/>
        </w:rPr>
        <w:t>Nataliya Babayevska</w:t>
      </w:r>
      <w:r w:rsidRPr="00D2598A">
        <w:rPr>
          <w:sz w:val="24"/>
          <w:vertAlign w:val="superscript"/>
          <w:lang w:val="pl-PL"/>
        </w:rPr>
        <w:t>1</w:t>
      </w:r>
      <w:r w:rsidRPr="00D2598A">
        <w:rPr>
          <w:sz w:val="24"/>
          <w:lang w:val="pl-PL"/>
        </w:rPr>
        <w:t>, Magdalena Konefał</w:t>
      </w:r>
      <w:r w:rsidRPr="00D2598A">
        <w:rPr>
          <w:sz w:val="24"/>
          <w:vertAlign w:val="superscript"/>
          <w:lang w:val="pl-PL"/>
        </w:rPr>
        <w:t>1</w:t>
      </w:r>
      <w:r w:rsidRPr="00D2598A">
        <w:rPr>
          <w:sz w:val="24"/>
          <w:lang w:val="pl-PL"/>
        </w:rPr>
        <w:t>, Mariusz Jancelewicz</w:t>
      </w:r>
      <w:r w:rsidRPr="00D2598A">
        <w:rPr>
          <w:sz w:val="24"/>
          <w:vertAlign w:val="superscript"/>
          <w:lang w:val="pl-PL"/>
        </w:rPr>
        <w:t>1</w:t>
      </w:r>
      <w:r w:rsidRPr="00D2598A">
        <w:rPr>
          <w:sz w:val="24"/>
          <w:lang w:val="pl-PL"/>
        </w:rPr>
        <w:t>, Igor Iatsunskyi</w:t>
      </w:r>
      <w:r w:rsidRPr="00D2598A">
        <w:rPr>
          <w:sz w:val="24"/>
          <w:vertAlign w:val="superscript"/>
          <w:lang w:val="pl-PL"/>
        </w:rPr>
        <w:t>1</w:t>
      </w:r>
      <w:r w:rsidRPr="00D2598A">
        <w:rPr>
          <w:sz w:val="24"/>
          <w:lang w:val="pl-PL"/>
        </w:rPr>
        <w:t>, Marcin Jarek</w:t>
      </w:r>
      <w:r w:rsidRPr="00D2598A">
        <w:rPr>
          <w:sz w:val="24"/>
          <w:vertAlign w:val="superscript"/>
          <w:lang w:val="pl-PL"/>
        </w:rPr>
        <w:t>1</w:t>
      </w:r>
      <w:r w:rsidRPr="00D2598A">
        <w:rPr>
          <w:sz w:val="24"/>
          <w:lang w:val="pl-PL"/>
        </w:rPr>
        <w:t xml:space="preserve">, </w:t>
      </w:r>
    </w:p>
    <w:p w14:paraId="5F591E25" w14:textId="77777777" w:rsidR="00CC40E1" w:rsidRDefault="00D2598A" w:rsidP="00D2598A">
      <w:pPr>
        <w:jc w:val="center"/>
        <w:rPr>
          <w:sz w:val="24"/>
        </w:rPr>
      </w:pPr>
      <w:r w:rsidRPr="00D2598A">
        <w:rPr>
          <w:sz w:val="24"/>
        </w:rPr>
        <w:t>Aravinthkumar Padmanaban</w:t>
      </w:r>
      <w:r w:rsidRPr="00D2598A">
        <w:rPr>
          <w:sz w:val="24"/>
          <w:vertAlign w:val="superscript"/>
        </w:rPr>
        <w:t>2</w:t>
      </w:r>
      <w:r w:rsidRPr="00D2598A">
        <w:rPr>
          <w:sz w:val="24"/>
        </w:rPr>
        <w:t>, Ivan Yakymenko</w:t>
      </w:r>
      <w:r w:rsidRPr="00D2598A">
        <w:rPr>
          <w:sz w:val="24"/>
          <w:vertAlign w:val="superscript"/>
        </w:rPr>
        <w:t>2</w:t>
      </w:r>
      <w:r w:rsidRPr="00D2598A">
        <w:rPr>
          <w:sz w:val="24"/>
        </w:rPr>
        <w:t xml:space="preserve">, </w:t>
      </w:r>
      <w:r w:rsidR="00934E5D" w:rsidRPr="00934E5D">
        <w:rPr>
          <w:sz w:val="24"/>
        </w:rPr>
        <w:t>Carsten Lowis</w:t>
      </w:r>
      <w:r w:rsidR="00934E5D">
        <w:rPr>
          <w:sz w:val="24"/>
          <w:vertAlign w:val="superscript"/>
        </w:rPr>
        <w:t>3</w:t>
      </w:r>
      <w:r w:rsidR="00934E5D" w:rsidRPr="00934E5D">
        <w:rPr>
          <w:sz w:val="24"/>
          <w:vertAlign w:val="superscript"/>
        </w:rPr>
        <w:t>,</w:t>
      </w:r>
      <w:r w:rsidR="00934E5D">
        <w:rPr>
          <w:sz w:val="24"/>
          <w:vertAlign w:val="superscript"/>
        </w:rPr>
        <w:t>4</w:t>
      </w:r>
      <w:r w:rsidR="00934E5D" w:rsidRPr="00934E5D">
        <w:rPr>
          <w:sz w:val="24"/>
        </w:rPr>
        <w:t xml:space="preserve">, </w:t>
      </w:r>
      <w:r w:rsidR="00CC40E1">
        <w:rPr>
          <w:sz w:val="24"/>
        </w:rPr>
        <w:t>Giulia Terragni</w:t>
      </w:r>
      <w:r w:rsidR="00CC40E1" w:rsidRPr="00CC40E1">
        <w:rPr>
          <w:sz w:val="24"/>
          <w:vertAlign w:val="superscript"/>
        </w:rPr>
        <w:t>3</w:t>
      </w:r>
      <w:r w:rsidR="00CC40E1">
        <w:rPr>
          <w:sz w:val="24"/>
        </w:rPr>
        <w:t xml:space="preserve">, </w:t>
      </w:r>
    </w:p>
    <w:p w14:paraId="45AF51C5" w14:textId="129E5615" w:rsidR="00D2598A" w:rsidRPr="00D2598A" w:rsidRDefault="00934E5D" w:rsidP="00D2598A">
      <w:pPr>
        <w:jc w:val="center"/>
        <w:rPr>
          <w:sz w:val="24"/>
        </w:rPr>
      </w:pPr>
      <w:r w:rsidRPr="00934E5D">
        <w:rPr>
          <w:sz w:val="24"/>
        </w:rPr>
        <w:t>Etiennette Auffray</w:t>
      </w:r>
      <w:r>
        <w:rPr>
          <w:sz w:val="24"/>
          <w:vertAlign w:val="superscript"/>
        </w:rPr>
        <w:t>3</w:t>
      </w:r>
      <w:r>
        <w:rPr>
          <w:sz w:val="24"/>
        </w:rPr>
        <w:t>,</w:t>
      </w:r>
      <w:r w:rsidR="00CC40E1">
        <w:rPr>
          <w:sz w:val="24"/>
        </w:rPr>
        <w:t xml:space="preserve"> </w:t>
      </w:r>
      <w:r w:rsidR="00D2598A" w:rsidRPr="00D2598A">
        <w:rPr>
          <w:sz w:val="24"/>
        </w:rPr>
        <w:t>Oleg Sidletskiy</w:t>
      </w:r>
      <w:r w:rsidR="00D2598A" w:rsidRPr="00D2598A">
        <w:rPr>
          <w:sz w:val="24"/>
          <w:vertAlign w:val="superscript"/>
        </w:rPr>
        <w:t>2,</w:t>
      </w:r>
      <w:r>
        <w:rPr>
          <w:sz w:val="24"/>
          <w:vertAlign w:val="superscript"/>
        </w:rPr>
        <w:t>5</w:t>
      </w:r>
    </w:p>
    <w:p w14:paraId="71E0DC5D" w14:textId="77777777" w:rsidR="00D2598A" w:rsidRPr="00D2598A" w:rsidRDefault="00D2598A" w:rsidP="00D2598A">
      <w:pPr>
        <w:jc w:val="center"/>
        <w:rPr>
          <w:sz w:val="24"/>
        </w:rPr>
      </w:pPr>
    </w:p>
    <w:p w14:paraId="5A72C7E8" w14:textId="5AA21E9C" w:rsidR="00D2598A" w:rsidRPr="00D2598A" w:rsidRDefault="00D2598A" w:rsidP="00D2598A">
      <w:pPr>
        <w:jc w:val="center"/>
        <w:rPr>
          <w:i/>
          <w:iCs/>
          <w:sz w:val="24"/>
        </w:rPr>
      </w:pPr>
      <w:r w:rsidRPr="00D2598A">
        <w:rPr>
          <w:i/>
          <w:iCs/>
          <w:sz w:val="24"/>
          <w:vertAlign w:val="superscript"/>
        </w:rPr>
        <w:t>1</w:t>
      </w:r>
      <w:r w:rsidRPr="00D2598A">
        <w:rPr>
          <w:i/>
          <w:iCs/>
          <w:sz w:val="24"/>
        </w:rPr>
        <w:t xml:space="preserve">NanoBioMedical Centre, Adam Mickiewicz University, </w:t>
      </w:r>
      <w:proofErr w:type="spellStart"/>
      <w:r w:rsidRPr="00D2598A">
        <w:rPr>
          <w:i/>
          <w:iCs/>
          <w:sz w:val="24"/>
        </w:rPr>
        <w:t>Poznań</w:t>
      </w:r>
      <w:proofErr w:type="spellEnd"/>
      <w:r w:rsidRPr="00D2598A">
        <w:rPr>
          <w:i/>
          <w:iCs/>
          <w:sz w:val="24"/>
        </w:rPr>
        <w:t>, Poland</w:t>
      </w:r>
    </w:p>
    <w:p w14:paraId="006BED52" w14:textId="77777777" w:rsidR="00D2598A" w:rsidRDefault="00D2598A" w:rsidP="00D2598A">
      <w:pPr>
        <w:jc w:val="center"/>
        <w:rPr>
          <w:i/>
          <w:iCs/>
          <w:sz w:val="24"/>
        </w:rPr>
      </w:pPr>
      <w:r w:rsidRPr="00D2598A">
        <w:rPr>
          <w:i/>
          <w:iCs/>
          <w:sz w:val="24"/>
          <w:vertAlign w:val="superscript"/>
        </w:rPr>
        <w:t>2</w:t>
      </w:r>
      <w:r w:rsidRPr="00D2598A">
        <w:rPr>
          <w:i/>
          <w:iCs/>
          <w:sz w:val="24"/>
        </w:rPr>
        <w:t xml:space="preserve">Centre of Excellence ENSEMBLE3 Sp. z </w:t>
      </w:r>
      <w:proofErr w:type="spellStart"/>
      <w:r w:rsidRPr="00D2598A">
        <w:rPr>
          <w:i/>
          <w:iCs/>
          <w:sz w:val="24"/>
        </w:rPr>
        <w:t>o.o.</w:t>
      </w:r>
      <w:proofErr w:type="spellEnd"/>
      <w:r w:rsidRPr="00D2598A">
        <w:rPr>
          <w:i/>
          <w:iCs/>
          <w:sz w:val="24"/>
        </w:rPr>
        <w:t>, Warsaw, Poland</w:t>
      </w:r>
    </w:p>
    <w:p w14:paraId="5C927967" w14:textId="23CF9023" w:rsidR="00934E5D" w:rsidRPr="00934E5D" w:rsidRDefault="00934E5D" w:rsidP="00934E5D">
      <w:pPr>
        <w:jc w:val="center"/>
        <w:rPr>
          <w:i/>
          <w:iCs/>
          <w:sz w:val="24"/>
        </w:rPr>
      </w:pPr>
      <w:r>
        <w:rPr>
          <w:i/>
          <w:iCs/>
          <w:sz w:val="24"/>
          <w:vertAlign w:val="superscript"/>
        </w:rPr>
        <w:t>3</w:t>
      </w:r>
      <w:r w:rsidRPr="00934E5D">
        <w:rPr>
          <w:i/>
          <w:iCs/>
          <w:sz w:val="24"/>
        </w:rPr>
        <w:t xml:space="preserve">European </w:t>
      </w:r>
      <w:r w:rsidR="008465FE" w:rsidRPr="00934E5D">
        <w:rPr>
          <w:i/>
          <w:iCs/>
          <w:sz w:val="24"/>
        </w:rPr>
        <w:t>organization</w:t>
      </w:r>
      <w:r w:rsidRPr="00934E5D">
        <w:rPr>
          <w:i/>
          <w:iCs/>
          <w:sz w:val="24"/>
        </w:rPr>
        <w:t xml:space="preserve"> for </w:t>
      </w:r>
      <w:r w:rsidR="008465FE">
        <w:rPr>
          <w:i/>
          <w:iCs/>
          <w:sz w:val="24"/>
        </w:rPr>
        <w:t>Nuclear Research</w:t>
      </w:r>
      <w:r w:rsidRPr="00934E5D">
        <w:rPr>
          <w:i/>
          <w:iCs/>
          <w:sz w:val="24"/>
        </w:rPr>
        <w:t xml:space="preserve"> (CERN)</w:t>
      </w:r>
      <w:r w:rsidR="00F9514E">
        <w:rPr>
          <w:i/>
          <w:iCs/>
          <w:sz w:val="24"/>
        </w:rPr>
        <w:t xml:space="preserve">, </w:t>
      </w:r>
      <w:r w:rsidR="008465FE">
        <w:rPr>
          <w:i/>
          <w:iCs/>
          <w:sz w:val="24"/>
        </w:rPr>
        <w:t>Geneva</w:t>
      </w:r>
      <w:r w:rsidR="00F9514E">
        <w:rPr>
          <w:i/>
          <w:iCs/>
          <w:sz w:val="24"/>
        </w:rPr>
        <w:t>, Switzerland</w:t>
      </w:r>
    </w:p>
    <w:p w14:paraId="32473ACC" w14:textId="4B179D65" w:rsidR="00934E5D" w:rsidRPr="00D2598A" w:rsidRDefault="00934E5D" w:rsidP="00934E5D">
      <w:pPr>
        <w:jc w:val="center"/>
        <w:rPr>
          <w:i/>
          <w:iCs/>
          <w:sz w:val="24"/>
        </w:rPr>
      </w:pPr>
      <w:r w:rsidRPr="00934E5D">
        <w:rPr>
          <w:i/>
          <w:iCs/>
          <w:sz w:val="24"/>
          <w:vertAlign w:val="superscript"/>
        </w:rPr>
        <w:t>4</w:t>
      </w:r>
      <w:r w:rsidRPr="00934E5D">
        <w:rPr>
          <w:i/>
          <w:iCs/>
          <w:sz w:val="24"/>
        </w:rPr>
        <w:t>RWTH Aachen University, Aachen, Germany</w:t>
      </w:r>
    </w:p>
    <w:p w14:paraId="235785F1" w14:textId="6D68DC76" w:rsidR="00934E5D" w:rsidRPr="00D2598A" w:rsidRDefault="00934E5D" w:rsidP="00D2598A">
      <w:pPr>
        <w:jc w:val="center"/>
        <w:rPr>
          <w:i/>
          <w:iCs/>
          <w:sz w:val="24"/>
        </w:rPr>
      </w:pPr>
      <w:r>
        <w:rPr>
          <w:i/>
          <w:iCs/>
          <w:sz w:val="24"/>
          <w:vertAlign w:val="superscript"/>
        </w:rPr>
        <w:t>5</w:t>
      </w:r>
      <w:r w:rsidR="00D2598A" w:rsidRPr="00D2598A">
        <w:rPr>
          <w:i/>
          <w:iCs/>
          <w:sz w:val="24"/>
        </w:rPr>
        <w:t>Institute for Scintillation Materials NAS of Ukraine, Kharkiv, Ukraine</w:t>
      </w:r>
    </w:p>
    <w:p w14:paraId="48B674A3" w14:textId="43BE673B" w:rsidR="00D2598A" w:rsidRDefault="00D2598A" w:rsidP="00D2598A">
      <w:pPr>
        <w:jc w:val="center"/>
        <w:rPr>
          <w:sz w:val="24"/>
        </w:rPr>
      </w:pPr>
      <w:r w:rsidRPr="00D2598A">
        <w:rPr>
          <w:sz w:val="24"/>
        </w:rPr>
        <w:t xml:space="preserve">Corresponding Author Email: </w:t>
      </w:r>
      <w:hyperlink r:id="rId7" w:history="1">
        <w:r w:rsidRPr="00495816">
          <w:rPr>
            <w:rStyle w:val="Hipercze"/>
            <w:sz w:val="24"/>
          </w:rPr>
          <w:t>natbab@amu.edu.pl</w:t>
        </w:r>
      </w:hyperlink>
    </w:p>
    <w:p w14:paraId="5928E1D2" w14:textId="77777777" w:rsidR="00D2598A" w:rsidRDefault="00D2598A" w:rsidP="00D2598A">
      <w:pPr>
        <w:jc w:val="center"/>
        <w:rPr>
          <w:sz w:val="24"/>
        </w:rPr>
      </w:pPr>
    </w:p>
    <w:p w14:paraId="40066A45" w14:textId="77777777" w:rsidR="00D2598A" w:rsidRDefault="00D2598A" w:rsidP="00D2598A">
      <w:pPr>
        <w:jc w:val="both"/>
        <w:rPr>
          <w:noProof/>
          <w:sz w:val="24"/>
          <w:lang w:val="it-IT" w:eastAsia="it-IT"/>
        </w:rPr>
      </w:pPr>
      <w:r w:rsidRPr="00D2598A">
        <w:rPr>
          <w:noProof/>
          <w:sz w:val="24"/>
          <w:lang w:val="it-IT" w:eastAsia="it-IT"/>
        </w:rPr>
        <w:t>Heterostructures based on ZnO thin films and Bi</w:t>
      </w:r>
      <w:r w:rsidRPr="00D2598A">
        <w:rPr>
          <w:noProof/>
          <w:sz w:val="24"/>
          <w:vertAlign w:val="subscript"/>
          <w:lang w:val="it-IT" w:eastAsia="it-IT"/>
        </w:rPr>
        <w:t>4</w:t>
      </w:r>
      <w:r w:rsidRPr="00D2598A">
        <w:rPr>
          <w:noProof/>
          <w:sz w:val="24"/>
          <w:lang w:val="it-IT" w:eastAsia="it-IT"/>
        </w:rPr>
        <w:t>Ge</w:t>
      </w:r>
      <w:r w:rsidRPr="00D2598A">
        <w:rPr>
          <w:noProof/>
          <w:sz w:val="24"/>
          <w:vertAlign w:val="subscript"/>
          <w:lang w:val="it-IT" w:eastAsia="it-IT"/>
        </w:rPr>
        <w:t>3</w:t>
      </w:r>
      <w:r w:rsidRPr="00D2598A">
        <w:rPr>
          <w:noProof/>
          <w:sz w:val="24"/>
          <w:lang w:val="it-IT" w:eastAsia="it-IT"/>
        </w:rPr>
        <w:t>O</w:t>
      </w:r>
      <w:r w:rsidRPr="00D2598A">
        <w:rPr>
          <w:noProof/>
          <w:sz w:val="24"/>
          <w:vertAlign w:val="subscript"/>
          <w:lang w:val="it-IT" w:eastAsia="it-IT"/>
        </w:rPr>
        <w:t>12</w:t>
      </w:r>
      <w:r w:rsidRPr="00D2598A">
        <w:rPr>
          <w:noProof/>
          <w:sz w:val="24"/>
          <w:lang w:val="it-IT" w:eastAsia="it-IT"/>
        </w:rPr>
        <w:t xml:space="preserve"> (BGO) substrates represent a promising approach for next-generation γ-ray detectors by combining the complementary properties of light and heavy scintillators. BGO, with its high density and high effective atomic number, provides efficient γ-ray absorption, while ZnO thin films exhibit an ultrafast scintillation response and excellent radiation hardness. In addition, the structural, morphological, optical, and electrical properties of ZnO thin films can be effectively tailored through doping with various metal ions or morphology changing. Gallium is considered one of the most suitable dopants, as it readily substitutes for Zn in the crystal lattice with minimal strain due to its similar ionic radius. Furthermore, the lower reactivity of Ga3+ toward oxygen compared to other metal dopants promotes the formation of oxygen vacancies, leading to an increased concentration of free electrons. As a result, Ga-doped ZnO materials exhibit enhanced sensitivity to ultraviolet radiation and are therefore widely investigated for photodetector applications.</w:t>
      </w:r>
    </w:p>
    <w:p w14:paraId="77B4663B" w14:textId="77777777" w:rsidR="00D2598A" w:rsidRDefault="00D2598A" w:rsidP="00D2598A">
      <w:pPr>
        <w:jc w:val="both"/>
        <w:rPr>
          <w:noProof/>
          <w:sz w:val="24"/>
          <w:lang w:val="it-IT" w:eastAsia="it-IT"/>
        </w:rPr>
      </w:pPr>
    </w:p>
    <w:p w14:paraId="41C290C1" w14:textId="77777777" w:rsidR="00D2598A" w:rsidRDefault="00D2598A" w:rsidP="00D2598A">
      <w:pPr>
        <w:jc w:val="both"/>
        <w:rPr>
          <w:noProof/>
          <w:sz w:val="24"/>
          <w:lang w:val="it-IT" w:eastAsia="it-IT"/>
        </w:rPr>
      </w:pPr>
      <w:r w:rsidRPr="00D2598A">
        <w:rPr>
          <w:noProof/>
          <w:sz w:val="24"/>
          <w:lang w:val="it-IT" w:eastAsia="it-IT"/>
        </w:rPr>
        <w:t>A variety of chemical and physical methods have been employed to fabricate high-quality pristine and doped ZnO thin films, including chemical vapor deposition, pulsed laser deposition, and magnetron sputtering. However, wet-chemical approaches, such as sol–gel and hydrothermal methods, offer significant advantages by enabling the preparation of homogeneous thin films with well-controlled stoichiometry through simple processing routes and low-cost equipment.</w:t>
      </w:r>
    </w:p>
    <w:p w14:paraId="5FE62362" w14:textId="77777777" w:rsidR="00D2598A" w:rsidRDefault="00D2598A" w:rsidP="00D2598A">
      <w:pPr>
        <w:jc w:val="both"/>
        <w:rPr>
          <w:noProof/>
          <w:sz w:val="24"/>
          <w:lang w:val="it-IT" w:eastAsia="it-IT"/>
        </w:rPr>
      </w:pPr>
    </w:p>
    <w:p w14:paraId="2FEA7EB1" w14:textId="6038035E" w:rsidR="00D2598A" w:rsidRPr="00D2598A" w:rsidRDefault="00D2598A" w:rsidP="00D2598A">
      <w:pPr>
        <w:jc w:val="both"/>
        <w:rPr>
          <w:iCs/>
          <w:sz w:val="24"/>
          <w:u w:val="single"/>
        </w:rPr>
      </w:pPr>
      <w:r w:rsidRPr="00D2598A">
        <w:rPr>
          <w:noProof/>
          <w:sz w:val="24"/>
          <w:lang w:val="it-IT" w:eastAsia="it-IT"/>
        </w:rPr>
        <w:t>ZnO and Ga-doped ZnO (ZnO:Ga) films with controlled thicknesses were successfully deposited on BGO substrates using sol–gel and hydrothermal techniques. The proposed synthesis approach enables the fabrication of highly crystalline ZnO/ZnO:Ga films with thicknesses ranging from 10 to 80 µm on BGO substrates. Variations in ZnO film thickness, as well as the incorporation of dopant impurities, allow effective tuning of ZnO luminescence spectra. The best coincidence time resolution of approximately 160 ps was achieved for the spray-coated BGO@ZnO heterostructure, which exhibited the strongest visible emission, when optically coupled to the PMMC using silicone. These results demonstrate the feasibility of controlling ZnO film thickness in BGO-based heterostructures and tailoring their scintillation properties, highlighting their potential for implementation in time-of-flight positron emission tomography (TOF-PET) and particle physics detectors.</w:t>
      </w:r>
    </w:p>
    <w:p w14:paraId="520B0A31" w14:textId="77777777" w:rsidR="00D2598A" w:rsidRPr="00D2598A" w:rsidRDefault="00D2598A" w:rsidP="00D2598A">
      <w:pPr>
        <w:pStyle w:val="Paragraph"/>
        <w:jc w:val="both"/>
        <w:rPr>
          <w:noProof/>
          <w:sz w:val="24"/>
          <w:lang w:val="it-IT" w:eastAsia="it-IT"/>
        </w:rPr>
      </w:pPr>
    </w:p>
    <w:p w14:paraId="0C92D4FE" w14:textId="77777777" w:rsidR="00D2598A" w:rsidRPr="00D2598A" w:rsidRDefault="00D2598A" w:rsidP="00D2598A">
      <w:pPr>
        <w:pStyle w:val="Paragraph"/>
        <w:jc w:val="both"/>
        <w:rPr>
          <w:noProof/>
          <w:sz w:val="24"/>
          <w:lang w:val="it-IT" w:eastAsia="it-IT"/>
        </w:rPr>
      </w:pPr>
    </w:p>
    <w:p w14:paraId="3074A177" w14:textId="7801C9EB" w:rsidR="00B53D22" w:rsidRDefault="00D2598A" w:rsidP="00D2598A">
      <w:pPr>
        <w:pStyle w:val="Paragraph"/>
        <w:ind w:firstLine="0"/>
        <w:jc w:val="both"/>
        <w:rPr>
          <w:sz w:val="24"/>
        </w:rPr>
      </w:pPr>
      <w:r w:rsidRPr="00D2598A">
        <w:rPr>
          <w:noProof/>
          <w:sz w:val="24"/>
          <w:lang w:val="it-IT" w:eastAsia="it-IT"/>
        </w:rPr>
        <w:t>This work was supported by the National Science Centre of Poland from the OPUS project DEC-2022/47/B/ST5/02288.</w:t>
      </w:r>
    </w:p>
    <w:p w14:paraId="05631824" w14:textId="77777777" w:rsidR="007C2CC9" w:rsidRDefault="007C2CC9" w:rsidP="00D2598A">
      <w:pPr>
        <w:pStyle w:val="Paragraph"/>
        <w:ind w:firstLine="0"/>
        <w:jc w:val="both"/>
        <w:rPr>
          <w:sz w:val="24"/>
        </w:rPr>
      </w:pPr>
    </w:p>
    <w:p w14:paraId="45A1E29D" w14:textId="77777777" w:rsidR="00962C3C" w:rsidRDefault="00962C3C" w:rsidP="00D2598A">
      <w:pPr>
        <w:pStyle w:val="Paragraph"/>
        <w:ind w:firstLine="0"/>
        <w:jc w:val="both"/>
        <w:rPr>
          <w:sz w:val="24"/>
        </w:rPr>
      </w:pPr>
    </w:p>
    <w:p w14:paraId="201B4CEC" w14:textId="77777777" w:rsidR="00744DE7" w:rsidRDefault="00744DE7" w:rsidP="00962C3C">
      <w:pPr>
        <w:pStyle w:val="Paragraph"/>
        <w:ind w:firstLine="0"/>
        <w:jc w:val="both"/>
        <w:rPr>
          <w:sz w:val="24"/>
        </w:rPr>
      </w:pPr>
    </w:p>
    <w:sectPr w:rsidR="00744DE7"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183F" w14:textId="77777777" w:rsidR="00F44B9A" w:rsidRDefault="00F44B9A" w:rsidP="003E14F0">
      <w:r>
        <w:separator/>
      </w:r>
    </w:p>
  </w:endnote>
  <w:endnote w:type="continuationSeparator" w:id="0">
    <w:p w14:paraId="06A0F120" w14:textId="77777777" w:rsidR="00F44B9A" w:rsidRDefault="00F44B9A"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7CFF" w14:textId="77777777" w:rsidR="00F44B9A" w:rsidRDefault="00F44B9A" w:rsidP="003E14F0">
      <w:r>
        <w:separator/>
      </w:r>
    </w:p>
  </w:footnote>
  <w:footnote w:type="continuationSeparator" w:id="0">
    <w:p w14:paraId="3296C454" w14:textId="77777777" w:rsidR="00F44B9A" w:rsidRDefault="00F44B9A"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MTYzNLU0MLEwNzZQ0lEKTi0uzszPAykwrAUApF6USiwAAAA="/>
  </w:docVars>
  <w:rsids>
    <w:rsidRoot w:val="00085FC9"/>
    <w:rsid w:val="000041F6"/>
    <w:rsid w:val="00023BF7"/>
    <w:rsid w:val="00085FC9"/>
    <w:rsid w:val="000C2F06"/>
    <w:rsid w:val="000C7A13"/>
    <w:rsid w:val="00101F2B"/>
    <w:rsid w:val="00106416"/>
    <w:rsid w:val="00151332"/>
    <w:rsid w:val="001562AE"/>
    <w:rsid w:val="001A29C1"/>
    <w:rsid w:val="00242EF7"/>
    <w:rsid w:val="002D1AF0"/>
    <w:rsid w:val="002F203B"/>
    <w:rsid w:val="003037B8"/>
    <w:rsid w:val="00312617"/>
    <w:rsid w:val="003453BD"/>
    <w:rsid w:val="0035680F"/>
    <w:rsid w:val="0039136E"/>
    <w:rsid w:val="003C089C"/>
    <w:rsid w:val="003E14F0"/>
    <w:rsid w:val="003F7751"/>
    <w:rsid w:val="00412BD8"/>
    <w:rsid w:val="0044547B"/>
    <w:rsid w:val="004557DE"/>
    <w:rsid w:val="004725F0"/>
    <w:rsid w:val="00480450"/>
    <w:rsid w:val="0050629B"/>
    <w:rsid w:val="0053338A"/>
    <w:rsid w:val="0056575C"/>
    <w:rsid w:val="005B788F"/>
    <w:rsid w:val="006251A4"/>
    <w:rsid w:val="00650C19"/>
    <w:rsid w:val="00677C23"/>
    <w:rsid w:val="00721613"/>
    <w:rsid w:val="00744DE7"/>
    <w:rsid w:val="007724D1"/>
    <w:rsid w:val="007C2CC9"/>
    <w:rsid w:val="007C54E7"/>
    <w:rsid w:val="008203D2"/>
    <w:rsid w:val="00844BEE"/>
    <w:rsid w:val="008465FE"/>
    <w:rsid w:val="00862500"/>
    <w:rsid w:val="00864EAA"/>
    <w:rsid w:val="00880EBB"/>
    <w:rsid w:val="008A08C8"/>
    <w:rsid w:val="008D6EA7"/>
    <w:rsid w:val="008E5117"/>
    <w:rsid w:val="008E6C69"/>
    <w:rsid w:val="008F5392"/>
    <w:rsid w:val="009103B3"/>
    <w:rsid w:val="00934E5D"/>
    <w:rsid w:val="009535BD"/>
    <w:rsid w:val="00962C3C"/>
    <w:rsid w:val="0097616E"/>
    <w:rsid w:val="009860C0"/>
    <w:rsid w:val="00A51E80"/>
    <w:rsid w:val="00A5573B"/>
    <w:rsid w:val="00B10A68"/>
    <w:rsid w:val="00B248C9"/>
    <w:rsid w:val="00B53D22"/>
    <w:rsid w:val="00BA385D"/>
    <w:rsid w:val="00BC1954"/>
    <w:rsid w:val="00C37DD7"/>
    <w:rsid w:val="00C758A1"/>
    <w:rsid w:val="00C870D2"/>
    <w:rsid w:val="00CB4E6E"/>
    <w:rsid w:val="00CC40E1"/>
    <w:rsid w:val="00CD2045"/>
    <w:rsid w:val="00CD37BE"/>
    <w:rsid w:val="00CF5C44"/>
    <w:rsid w:val="00D2598A"/>
    <w:rsid w:val="00D80676"/>
    <w:rsid w:val="00D956BD"/>
    <w:rsid w:val="00DD1157"/>
    <w:rsid w:val="00E055AA"/>
    <w:rsid w:val="00E824A3"/>
    <w:rsid w:val="00E92657"/>
    <w:rsid w:val="00E92B11"/>
    <w:rsid w:val="00F44B9A"/>
    <w:rsid w:val="00F53E8A"/>
    <w:rsid w:val="00F62524"/>
    <w:rsid w:val="00F9514E"/>
    <w:rsid w:val="00F97D6A"/>
    <w:rsid w:val="00FB418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5FC9"/>
    <w:rPr>
      <w:rFonts w:ascii="Times New Roman" w:eastAsia="Times New Roman" w:hAnsi="Times New Roman"/>
      <w:lang w:val="en-U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085FC9"/>
    <w:pPr>
      <w:ind w:firstLine="360"/>
    </w:pPr>
  </w:style>
  <w:style w:type="character" w:styleId="Hipercze">
    <w:name w:val="Hyperlink"/>
    <w:uiPriority w:val="99"/>
    <w:unhideWhenUsed/>
    <w:rsid w:val="0035680F"/>
    <w:rPr>
      <w:color w:val="0000FF"/>
      <w:u w:val="single"/>
    </w:rPr>
  </w:style>
  <w:style w:type="paragraph" w:styleId="Nagwek">
    <w:name w:val="header"/>
    <w:basedOn w:val="Normalny"/>
    <w:link w:val="NagwekZnak"/>
    <w:uiPriority w:val="99"/>
    <w:semiHidden/>
    <w:unhideWhenUsed/>
    <w:rsid w:val="003E14F0"/>
    <w:pPr>
      <w:tabs>
        <w:tab w:val="center" w:pos="4680"/>
        <w:tab w:val="right" w:pos="9360"/>
      </w:tabs>
    </w:pPr>
  </w:style>
  <w:style w:type="character" w:customStyle="1" w:styleId="NagwekZnak">
    <w:name w:val="Nagłówek Znak"/>
    <w:link w:val="Nagwek"/>
    <w:uiPriority w:val="99"/>
    <w:semiHidden/>
    <w:rsid w:val="003E14F0"/>
    <w:rPr>
      <w:rFonts w:ascii="Times New Roman" w:eastAsia="Times New Roman" w:hAnsi="Times New Roman" w:cs="Times New Roman"/>
      <w:sz w:val="20"/>
      <w:szCs w:val="20"/>
      <w:lang w:eastAsia="ja-JP"/>
    </w:rPr>
  </w:style>
  <w:style w:type="paragraph" w:styleId="Stopka">
    <w:name w:val="footer"/>
    <w:basedOn w:val="Normalny"/>
    <w:link w:val="StopkaZnak"/>
    <w:uiPriority w:val="99"/>
    <w:semiHidden/>
    <w:unhideWhenUsed/>
    <w:rsid w:val="003E14F0"/>
    <w:pPr>
      <w:tabs>
        <w:tab w:val="center" w:pos="4680"/>
        <w:tab w:val="right" w:pos="9360"/>
      </w:tabs>
    </w:pPr>
  </w:style>
  <w:style w:type="character" w:customStyle="1" w:styleId="StopkaZnak">
    <w:name w:val="Stopka Znak"/>
    <w:link w:val="Stopka"/>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Odwoaniedokomentarza">
    <w:name w:val="annotation reference"/>
    <w:uiPriority w:val="99"/>
    <w:semiHidden/>
    <w:unhideWhenUsed/>
    <w:rsid w:val="00151332"/>
    <w:rPr>
      <w:sz w:val="16"/>
      <w:szCs w:val="16"/>
    </w:rPr>
  </w:style>
  <w:style w:type="paragraph" w:styleId="Tekstkomentarza">
    <w:name w:val="annotation text"/>
    <w:basedOn w:val="Normalny"/>
    <w:link w:val="TekstkomentarzaZnak"/>
    <w:uiPriority w:val="99"/>
    <w:semiHidden/>
    <w:unhideWhenUsed/>
    <w:rsid w:val="00151332"/>
  </w:style>
  <w:style w:type="character" w:customStyle="1" w:styleId="TekstkomentarzaZnak">
    <w:name w:val="Tekst komentarza Znak"/>
    <w:link w:val="Tekstkomentarza"/>
    <w:uiPriority w:val="99"/>
    <w:semiHidden/>
    <w:rsid w:val="00151332"/>
    <w:rPr>
      <w:rFonts w:ascii="Times New Roman" w:eastAsia="Times New Roman" w:hAnsi="Times New Roman"/>
      <w:lang w:eastAsia="ja-JP"/>
    </w:rPr>
  </w:style>
  <w:style w:type="paragraph" w:styleId="Tematkomentarza">
    <w:name w:val="annotation subject"/>
    <w:basedOn w:val="Tekstkomentarza"/>
    <w:next w:val="Tekstkomentarza"/>
    <w:link w:val="TematkomentarzaZnak"/>
    <w:uiPriority w:val="99"/>
    <w:semiHidden/>
    <w:unhideWhenUsed/>
    <w:rsid w:val="00151332"/>
    <w:rPr>
      <w:b/>
      <w:bCs/>
    </w:rPr>
  </w:style>
  <w:style w:type="character" w:customStyle="1" w:styleId="TematkomentarzaZnak">
    <w:name w:val="Temat komentarza Znak"/>
    <w:link w:val="Tematkomentarza"/>
    <w:uiPriority w:val="99"/>
    <w:semiHidden/>
    <w:rsid w:val="00151332"/>
    <w:rPr>
      <w:rFonts w:ascii="Times New Roman" w:eastAsia="Times New Roman" w:hAnsi="Times New Roman"/>
      <w:b/>
      <w:bCs/>
      <w:lang w:eastAsia="ja-JP"/>
    </w:rPr>
  </w:style>
  <w:style w:type="paragraph" w:styleId="Tekstdymka">
    <w:name w:val="Balloon Text"/>
    <w:basedOn w:val="Normalny"/>
    <w:link w:val="TekstdymkaZnak"/>
    <w:uiPriority w:val="99"/>
    <w:semiHidden/>
    <w:unhideWhenUsed/>
    <w:rsid w:val="00151332"/>
    <w:rPr>
      <w:rFonts w:ascii="Segoe UI" w:hAnsi="Segoe UI" w:cs="Segoe UI"/>
      <w:sz w:val="18"/>
      <w:szCs w:val="18"/>
    </w:rPr>
  </w:style>
  <w:style w:type="character" w:customStyle="1" w:styleId="TekstdymkaZnak">
    <w:name w:val="Tekst dymka Znak"/>
    <w:link w:val="Tekstdymka"/>
    <w:uiPriority w:val="99"/>
    <w:semiHidden/>
    <w:rsid w:val="00151332"/>
    <w:rPr>
      <w:rFonts w:ascii="Segoe UI" w:eastAsia="Times New Roman" w:hAnsi="Segoe UI" w:cs="Segoe UI"/>
      <w:sz w:val="18"/>
      <w:szCs w:val="18"/>
      <w:lang w:eastAsia="ja-JP"/>
    </w:rPr>
  </w:style>
  <w:style w:type="paragraph" w:styleId="Legenda">
    <w:name w:val="caption"/>
    <w:basedOn w:val="Normalny"/>
    <w:next w:val="Normalny"/>
    <w:uiPriority w:val="35"/>
    <w:unhideWhenUsed/>
    <w:qFormat/>
    <w:rsid w:val="0056575C"/>
    <w:pPr>
      <w:spacing w:after="200"/>
    </w:pPr>
    <w:rPr>
      <w:i/>
      <w:iCs/>
      <w:color w:val="44546A" w:themeColor="text2"/>
      <w:sz w:val="18"/>
      <w:szCs w:val="18"/>
    </w:rPr>
  </w:style>
  <w:style w:type="character" w:styleId="Nierozpoznanawzmianka">
    <w:name w:val="Unresolved Mention"/>
    <w:basedOn w:val="Domylnaczcionkaakapitu"/>
    <w:uiPriority w:val="99"/>
    <w:semiHidden/>
    <w:unhideWhenUsed/>
    <w:rsid w:val="008A08C8"/>
    <w:rPr>
      <w:color w:val="605E5C"/>
      <w:shd w:val="clear" w:color="auto" w:fill="E1DFDD"/>
    </w:rPr>
  </w:style>
  <w:style w:type="character" w:styleId="UyteHipercze">
    <w:name w:val="FollowedHyperlink"/>
    <w:basedOn w:val="Domylnaczcionkaakapitu"/>
    <w:uiPriority w:val="99"/>
    <w:semiHidden/>
    <w:unhideWhenUsed/>
    <w:rsid w:val="008A0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bab@amu.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407</Words>
  <Characters>2964</Characters>
  <Application>Microsoft Office Word</Application>
  <DocSecurity>0</DocSecurity>
  <Lines>98</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3342</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Nataliya Babayevska</cp:lastModifiedBy>
  <cp:revision>6</cp:revision>
  <cp:lastPrinted>2026-01-15T09:49:00Z</cp:lastPrinted>
  <dcterms:created xsi:type="dcterms:W3CDTF">2026-01-15T09:49:00Z</dcterms:created>
  <dcterms:modified xsi:type="dcterms:W3CDTF">2026-01-19T10:23:00Z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9271d549-8d91-40c1-9c8e-5d1897908edd</vt:lpwstr>
  </property>
</Properties>
</file>