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4B3C1" w14:textId="76F48C91" w:rsidR="00085FC9" w:rsidRPr="00663F85" w:rsidRDefault="009630F7" w:rsidP="00085FC9">
      <w:pPr>
        <w:jc w:val="center"/>
        <w:rPr>
          <w:b/>
          <w:sz w:val="24"/>
        </w:rPr>
      </w:pPr>
      <w:r>
        <w:rPr>
          <w:b/>
          <w:sz w:val="24"/>
        </w:rPr>
        <w:t>Introduction to the KPLO Gamma-Ray Spectrometer and Major Scientific Results</w:t>
      </w:r>
    </w:p>
    <w:p w14:paraId="4460B221" w14:textId="77777777" w:rsidR="00085FC9" w:rsidRPr="00663F85" w:rsidRDefault="00085FC9" w:rsidP="00085FC9">
      <w:pPr>
        <w:rPr>
          <w:b/>
          <w:sz w:val="24"/>
        </w:rPr>
      </w:pPr>
    </w:p>
    <w:p w14:paraId="4C9E6C9C" w14:textId="1CA92E07" w:rsidR="00085FC9" w:rsidRPr="00085FC9" w:rsidRDefault="009630F7" w:rsidP="00962C3C">
      <w:pPr>
        <w:jc w:val="center"/>
        <w:rPr>
          <w:sz w:val="24"/>
        </w:rPr>
      </w:pPr>
      <w:r>
        <w:rPr>
          <w:sz w:val="24"/>
        </w:rPr>
        <w:t>Kyeong Ja Kim</w:t>
      </w:r>
      <w:r w:rsidR="00085FC9" w:rsidRPr="00663F85">
        <w:rPr>
          <w:sz w:val="24"/>
          <w:vertAlign w:val="superscript"/>
        </w:rPr>
        <w:t>1</w:t>
      </w:r>
      <w:r>
        <w:rPr>
          <w:sz w:val="24"/>
          <w:vertAlign w:val="superscript"/>
        </w:rPr>
        <w:t>,2*</w:t>
      </w:r>
      <w:r w:rsidR="00085FC9">
        <w:rPr>
          <w:sz w:val="24"/>
        </w:rPr>
        <w:t xml:space="preserve">, </w:t>
      </w:r>
      <w:proofErr w:type="spellStart"/>
      <w:r>
        <w:rPr>
          <w:sz w:val="24"/>
        </w:rPr>
        <w:t>Suyeon</w:t>
      </w:r>
      <w:proofErr w:type="spellEnd"/>
      <w:r>
        <w:rPr>
          <w:sz w:val="24"/>
        </w:rPr>
        <w:t xml:space="preserve"> Kim</w:t>
      </w:r>
      <w:r>
        <w:rPr>
          <w:sz w:val="24"/>
          <w:vertAlign w:val="superscript"/>
        </w:rPr>
        <w:t>1</w:t>
      </w:r>
      <w:r w:rsidR="00085FC9">
        <w:rPr>
          <w:sz w:val="24"/>
        </w:rPr>
        <w:t xml:space="preserve">, </w:t>
      </w:r>
      <w:proofErr w:type="spellStart"/>
      <w:r>
        <w:rPr>
          <w:sz w:val="24"/>
        </w:rPr>
        <w:t>Ik-Seon</w:t>
      </w:r>
      <w:proofErr w:type="spellEnd"/>
      <w:r>
        <w:rPr>
          <w:sz w:val="24"/>
        </w:rPr>
        <w:t xml:space="preserve"> Hong</w:t>
      </w:r>
      <w:r w:rsidR="002C0FDA">
        <w:rPr>
          <w:sz w:val="24"/>
          <w:vertAlign w:val="superscript"/>
        </w:rPr>
        <w:t>1</w:t>
      </w:r>
      <w:r>
        <w:rPr>
          <w:sz w:val="24"/>
        </w:rPr>
        <w:t>, Jung Hun Park</w:t>
      </w:r>
      <w:r w:rsidR="002C0FDA">
        <w:rPr>
          <w:sz w:val="24"/>
          <w:vertAlign w:val="superscript"/>
        </w:rPr>
        <w:t>1</w:t>
      </w:r>
      <w:r>
        <w:rPr>
          <w:sz w:val="24"/>
        </w:rPr>
        <w:t xml:space="preserve">, </w:t>
      </w:r>
      <w:proofErr w:type="spellStart"/>
      <w:r>
        <w:rPr>
          <w:sz w:val="24"/>
        </w:rPr>
        <w:t>Yire</w:t>
      </w:r>
      <w:proofErr w:type="spellEnd"/>
      <w:r>
        <w:rPr>
          <w:sz w:val="24"/>
        </w:rPr>
        <w:t xml:space="preserve"> Choi</w:t>
      </w:r>
      <w:r w:rsidR="002C0FDA">
        <w:rPr>
          <w:sz w:val="24"/>
          <w:vertAlign w:val="superscript"/>
        </w:rPr>
        <w:t>1</w:t>
      </w:r>
      <w:r>
        <w:rPr>
          <w:sz w:val="24"/>
        </w:rPr>
        <w:t xml:space="preserve">, </w:t>
      </w:r>
      <w:proofErr w:type="spellStart"/>
      <w:r>
        <w:rPr>
          <w:sz w:val="24"/>
        </w:rPr>
        <w:t>Eungseok</w:t>
      </w:r>
      <w:proofErr w:type="spellEnd"/>
      <w:r>
        <w:rPr>
          <w:sz w:val="24"/>
        </w:rPr>
        <w:t xml:space="preserve"> Yi</w:t>
      </w:r>
      <w:r w:rsidR="002C0FDA">
        <w:rPr>
          <w:sz w:val="24"/>
          <w:vertAlign w:val="superscript"/>
        </w:rPr>
        <w:t>1</w:t>
      </w:r>
      <w:r>
        <w:rPr>
          <w:sz w:val="24"/>
        </w:rPr>
        <w:t>, Yong Kwon Kim</w:t>
      </w:r>
      <w:r w:rsidR="002C0FDA">
        <w:rPr>
          <w:sz w:val="24"/>
          <w:vertAlign w:val="superscript"/>
        </w:rPr>
        <w:t>3</w:t>
      </w:r>
      <w:r>
        <w:rPr>
          <w:sz w:val="24"/>
        </w:rPr>
        <w:t xml:space="preserve">, </w:t>
      </w:r>
      <w:proofErr w:type="spellStart"/>
      <w:r>
        <w:rPr>
          <w:sz w:val="24"/>
        </w:rPr>
        <w:t>Kil</w:t>
      </w:r>
      <w:r w:rsidR="00FD23B7">
        <w:rPr>
          <w:rFonts w:ascii="맑은 고딕" w:eastAsia="맑은 고딕" w:hAnsi="맑은 고딕" w:cs="맑은 고딕" w:hint="eastAsia"/>
          <w:sz w:val="24"/>
          <w:lang w:eastAsia="ko-KR"/>
        </w:rPr>
        <w:t>s</w:t>
      </w:r>
      <w:r>
        <w:rPr>
          <w:sz w:val="24"/>
        </w:rPr>
        <w:t>oon</w:t>
      </w:r>
      <w:proofErr w:type="spellEnd"/>
      <w:r>
        <w:rPr>
          <w:sz w:val="24"/>
        </w:rPr>
        <w:t xml:space="preserve"> Park</w:t>
      </w:r>
      <w:r w:rsidR="002C0FDA">
        <w:rPr>
          <w:sz w:val="24"/>
          <w:vertAlign w:val="superscript"/>
        </w:rPr>
        <w:t>4</w:t>
      </w:r>
      <w:r>
        <w:rPr>
          <w:sz w:val="24"/>
        </w:rPr>
        <w:t>, K.B. Lee</w:t>
      </w:r>
      <w:r w:rsidR="002C0FDA">
        <w:rPr>
          <w:sz w:val="24"/>
          <w:vertAlign w:val="superscript"/>
        </w:rPr>
        <w:t>5</w:t>
      </w:r>
    </w:p>
    <w:p w14:paraId="74B98797" w14:textId="77777777" w:rsidR="00085FC9" w:rsidRPr="009630F7" w:rsidRDefault="00085FC9" w:rsidP="00962C3C">
      <w:pPr>
        <w:rPr>
          <w:sz w:val="24"/>
        </w:rPr>
      </w:pPr>
    </w:p>
    <w:p w14:paraId="5EED7DB4" w14:textId="777E1DA2" w:rsidR="009630F7" w:rsidRPr="009630F7" w:rsidRDefault="00085FC9" w:rsidP="009630F7">
      <w:pPr>
        <w:jc w:val="center"/>
        <w:rPr>
          <w:i/>
          <w:iCs/>
          <w:sz w:val="24"/>
          <w:szCs w:val="24"/>
        </w:rPr>
      </w:pPr>
      <w:r>
        <w:rPr>
          <w:i/>
          <w:sz w:val="24"/>
          <w:vertAlign w:val="superscript"/>
        </w:rPr>
        <w:t>1</w:t>
      </w:r>
      <w:r w:rsidR="009630F7" w:rsidRPr="009630F7">
        <w:rPr>
          <w:i/>
          <w:iCs/>
          <w:sz w:val="24"/>
          <w:szCs w:val="24"/>
        </w:rPr>
        <w:t xml:space="preserve">Korea Institute of Geoscience and Mineral Resources, Daejeon, 34132, Republic of Korea, </w:t>
      </w:r>
      <w:r w:rsidR="002C0FDA">
        <w:rPr>
          <w:i/>
          <w:sz w:val="24"/>
          <w:vertAlign w:val="superscript"/>
        </w:rPr>
        <w:t>2</w:t>
      </w:r>
      <w:r w:rsidR="009630F7" w:rsidRPr="009630F7">
        <w:rPr>
          <w:i/>
          <w:iCs/>
          <w:sz w:val="24"/>
          <w:szCs w:val="24"/>
        </w:rPr>
        <w:t xml:space="preserve">Resource Engineering, University of Science and Technology, Daejeon, Republic of Korea, </w:t>
      </w:r>
      <w:r w:rsidR="002C0FDA">
        <w:rPr>
          <w:i/>
          <w:sz w:val="24"/>
          <w:vertAlign w:val="superscript"/>
        </w:rPr>
        <w:t>3</w:t>
      </w:r>
      <w:r w:rsidR="009630F7" w:rsidRPr="009630F7">
        <w:rPr>
          <w:i/>
          <w:iCs/>
          <w:sz w:val="24"/>
          <w:szCs w:val="24"/>
        </w:rPr>
        <w:t xml:space="preserve">KEP, Daejeon, Republic of Korea, </w:t>
      </w:r>
      <w:r w:rsidR="002C0FDA">
        <w:rPr>
          <w:i/>
          <w:sz w:val="24"/>
          <w:vertAlign w:val="superscript"/>
        </w:rPr>
        <w:t>4</w:t>
      </w:r>
      <w:r w:rsidR="009630F7" w:rsidRPr="009630F7">
        <w:rPr>
          <w:i/>
          <w:iCs/>
          <w:sz w:val="24"/>
          <w:szCs w:val="24"/>
        </w:rPr>
        <w:t xml:space="preserve">Nucare (Inc), </w:t>
      </w:r>
      <w:proofErr w:type="spellStart"/>
      <w:r w:rsidR="009630F7" w:rsidRPr="009630F7">
        <w:rPr>
          <w:i/>
          <w:iCs/>
          <w:sz w:val="24"/>
          <w:szCs w:val="24"/>
        </w:rPr>
        <w:t>Osong</w:t>
      </w:r>
      <w:proofErr w:type="spellEnd"/>
      <w:r w:rsidR="009630F7" w:rsidRPr="009630F7">
        <w:rPr>
          <w:i/>
          <w:iCs/>
          <w:sz w:val="24"/>
          <w:szCs w:val="24"/>
        </w:rPr>
        <w:t xml:space="preserve">, Republic of Korea, and </w:t>
      </w:r>
      <w:r w:rsidR="002C0FDA">
        <w:rPr>
          <w:i/>
          <w:sz w:val="24"/>
          <w:vertAlign w:val="superscript"/>
        </w:rPr>
        <w:t>5</w:t>
      </w:r>
      <w:r w:rsidR="009630F7" w:rsidRPr="009630F7">
        <w:rPr>
          <w:i/>
          <w:iCs/>
          <w:sz w:val="24"/>
          <w:szCs w:val="24"/>
        </w:rPr>
        <w:t>Korea Research Institute of Standards and Science, Daejeon, Republic of Korea.</w:t>
      </w:r>
    </w:p>
    <w:p w14:paraId="44535264" w14:textId="0CDA8DCF" w:rsidR="0044547B" w:rsidRDefault="0044547B" w:rsidP="00C37DD7">
      <w:pPr>
        <w:jc w:val="center"/>
        <w:rPr>
          <w:iCs/>
          <w:sz w:val="24"/>
          <w:u w:val="single"/>
        </w:rPr>
      </w:pPr>
      <w:r>
        <w:rPr>
          <w:iCs/>
          <w:sz w:val="24"/>
        </w:rPr>
        <w:t xml:space="preserve">Corresponding Author Email: </w:t>
      </w:r>
      <w:hyperlink r:id="rId7" w:history="1">
        <w:r w:rsidR="002C0FDA" w:rsidRPr="00A35F73">
          <w:rPr>
            <w:rStyle w:val="a3"/>
            <w:iCs/>
            <w:sz w:val="24"/>
          </w:rPr>
          <w:t>kjkim@kigam.re.kr</w:t>
        </w:r>
      </w:hyperlink>
    </w:p>
    <w:p w14:paraId="4B8C94C7" w14:textId="77777777" w:rsidR="00C37DD7" w:rsidRPr="00C37DD7" w:rsidRDefault="00C37DD7" w:rsidP="00C37DD7">
      <w:pPr>
        <w:rPr>
          <w:iCs/>
          <w:sz w:val="24"/>
        </w:rPr>
      </w:pPr>
    </w:p>
    <w:p w14:paraId="7D5DFFC1" w14:textId="377107D1" w:rsidR="00D77CAF" w:rsidRDefault="00613610" w:rsidP="00D77CAF">
      <w:pPr>
        <w:pStyle w:val="Default"/>
        <w:ind w:firstLine="720"/>
        <w:jc w:val="both"/>
      </w:pPr>
      <w:r>
        <w:t xml:space="preserve">Since </w:t>
      </w:r>
      <w:r w:rsidR="00D77CAF">
        <w:t>the start of operations on 9 August 2022, the KPLO (Korea Pathfinder Lunar Orbiter) onboard scintillator-based gamma-ray spectrometer has successfully achieved its scientific objectives. After a four-month, three-week deep-space cruise along a ballistic lunar transfer (BLT) trajectory, KPLO entered lunar orbit on 27 December 2022. In lunar orbit, the KGRS (KPLO Gamma-Ray Spectrometer) has continuously collected counting and spectral data to generate lunar elemental maps and characterize the space radiation environment. Its secondary objectives include monitoring gamma-ray bursts (GRBs) and the radiation environment at the Moon.</w:t>
      </w:r>
    </w:p>
    <w:p w14:paraId="1A298341" w14:textId="77777777" w:rsidR="00D77CAF" w:rsidRDefault="00D77CAF" w:rsidP="00D77CAF">
      <w:pPr>
        <w:pStyle w:val="Default"/>
        <w:ind w:firstLine="720"/>
        <w:jc w:val="both"/>
      </w:pPr>
      <w:r>
        <w:t xml:space="preserve">KGRS comprises two detector components: a main detector and a shielding detector. The primary detector is a </w:t>
      </w:r>
      <w:proofErr w:type="spellStart"/>
      <w:r>
        <w:t>LaBr</w:t>
      </w:r>
      <w:proofErr w:type="spellEnd"/>
      <w:r>
        <w:rPr>
          <w:rFonts w:hint="eastAsia"/>
        </w:rPr>
        <w:t>₃</w:t>
      </w:r>
      <w:r>
        <w:t xml:space="preserve"> scintillator, optimized for lunar gamma-ray spectroscopy and elemental composition mapping. The secondary detector, a 5% boron-loaded plastic scintillator (BLPS), reduces background contributions from the spacecraft and instrument housing as well as from cosmic rays. In addition to background suppression, the BLPS provides neutron monitoring capability by recording its own neutron spectrum with 1024 energy channels. KGRS operates with a 100% duty cycle, acquiring data every 10 seconds. With a total mass of 6.28 kg, KGRS is the lightest instrument to date to successfully accomplish a planetary gamma-ray remote-sensing objective. The main detector measures gamma-ray energies from 30 keV to 12 MeV. Lunar elemental maps are derived through gamma-ray peak analysis, while GRB detection and radiation monitoring are performed using binned counting data.</w:t>
      </w:r>
    </w:p>
    <w:p w14:paraId="4DD0991A" w14:textId="459D1D12" w:rsidR="00962C3C" w:rsidRPr="00D77CAF" w:rsidRDefault="00D77CAF" w:rsidP="00D77CAF">
      <w:pPr>
        <w:pStyle w:val="Default"/>
        <w:ind w:firstLine="720"/>
        <w:jc w:val="both"/>
      </w:pPr>
      <w:r>
        <w:t>To date, the most notable results include the detection of the exceptionally intense GRB 221009A and the production of global elemental maps of U, Th, and K. More recently, KGRS has produced lunar neutron, iron, and silicon maps. These datasets provide valuable constraints on lunar geology and contribute to assessments of potential lunar resources relevant to future lunar surface exploration and base development. This presentation will summarize the KGRS instrument design, operational performance, and major scientific results, demonstrating the capabilities of scintillator-based gamma-ray spectroscopy for planetary remote sensing.</w:t>
      </w:r>
    </w:p>
    <w:p w14:paraId="568E6990" w14:textId="77777777" w:rsidR="00A5573B" w:rsidRPr="003A5E81" w:rsidRDefault="00A5573B" w:rsidP="00962C3C">
      <w:pPr>
        <w:pStyle w:val="Paragraph"/>
        <w:ind w:firstLine="0"/>
        <w:jc w:val="both"/>
        <w:rPr>
          <w:sz w:val="24"/>
        </w:rPr>
      </w:pPr>
    </w:p>
    <w:p w14:paraId="3074A177" w14:textId="3C8697FF" w:rsidR="00B53D22" w:rsidRDefault="00962C3C" w:rsidP="00962C3C">
      <w:pPr>
        <w:pStyle w:val="Paragraph"/>
        <w:ind w:firstLine="0"/>
        <w:jc w:val="both"/>
        <w:rPr>
          <w:sz w:val="24"/>
        </w:rPr>
      </w:pPr>
      <w:r>
        <w:rPr>
          <w:sz w:val="24"/>
        </w:rPr>
        <w:t>1.</w:t>
      </w:r>
      <w:r>
        <w:rPr>
          <w:sz w:val="24"/>
        </w:rPr>
        <w:tab/>
      </w:r>
      <w:r w:rsidR="0062793F">
        <w:rPr>
          <w:sz w:val="24"/>
        </w:rPr>
        <w:t>Kim, K. J. et al.</w:t>
      </w:r>
      <w:r w:rsidR="00B53D22">
        <w:rPr>
          <w:sz w:val="24"/>
        </w:rPr>
        <w:t>, “</w:t>
      </w:r>
      <w:r w:rsidR="0062793F" w:rsidRPr="0062793F">
        <w:rPr>
          <w:sz w:val="24"/>
        </w:rPr>
        <w:t>The GRB221009A gamma-ray burst as revealed by the gamma-ray spectrometer onboard the KPLO (</w:t>
      </w:r>
      <w:proofErr w:type="spellStart"/>
      <w:r w:rsidR="0062793F" w:rsidRPr="0062793F">
        <w:rPr>
          <w:sz w:val="24"/>
        </w:rPr>
        <w:t>Danuri</w:t>
      </w:r>
      <w:proofErr w:type="spellEnd"/>
      <w:r w:rsidR="0062793F" w:rsidRPr="0062793F">
        <w:rPr>
          <w:sz w:val="24"/>
        </w:rPr>
        <w:t>)</w:t>
      </w:r>
      <w:r w:rsidR="00B53D22">
        <w:rPr>
          <w:sz w:val="24"/>
        </w:rPr>
        <w:t xml:space="preserve">,” </w:t>
      </w:r>
      <w:r w:rsidR="0062793F">
        <w:rPr>
          <w:i/>
          <w:sz w:val="24"/>
        </w:rPr>
        <w:t>scientific report</w:t>
      </w:r>
      <w:r w:rsidR="00B53D22">
        <w:rPr>
          <w:sz w:val="24"/>
        </w:rPr>
        <w:t xml:space="preserve">, </w:t>
      </w:r>
      <w:r w:rsidR="00B53D22" w:rsidRPr="00B53D22">
        <w:rPr>
          <w:b/>
          <w:sz w:val="24"/>
        </w:rPr>
        <w:t>1</w:t>
      </w:r>
      <w:r w:rsidR="0062793F">
        <w:rPr>
          <w:b/>
          <w:sz w:val="24"/>
        </w:rPr>
        <w:t>4</w:t>
      </w:r>
      <w:r w:rsidR="00B53D22">
        <w:rPr>
          <w:sz w:val="24"/>
        </w:rPr>
        <w:t xml:space="preserve">, </w:t>
      </w:r>
      <w:r w:rsidR="0062793F">
        <w:rPr>
          <w:sz w:val="24"/>
        </w:rPr>
        <w:t>19062</w:t>
      </w:r>
      <w:r w:rsidR="00B53D22">
        <w:rPr>
          <w:sz w:val="24"/>
        </w:rPr>
        <w:t xml:space="preserve"> (</w:t>
      </w:r>
      <w:r w:rsidR="0062793F">
        <w:rPr>
          <w:sz w:val="24"/>
        </w:rPr>
        <w:t>2024</w:t>
      </w:r>
      <w:r w:rsidR="00B53D22">
        <w:rPr>
          <w:sz w:val="24"/>
        </w:rPr>
        <w:t>).</w:t>
      </w:r>
    </w:p>
    <w:p w14:paraId="1281EBC7" w14:textId="3C7852A8" w:rsidR="00624156" w:rsidRPr="00624156" w:rsidRDefault="00624156" w:rsidP="00962C3C">
      <w:pPr>
        <w:pStyle w:val="Paragraph"/>
        <w:ind w:firstLine="0"/>
        <w:jc w:val="both"/>
        <w:rPr>
          <w:rFonts w:eastAsiaTheme="minorEastAsia"/>
          <w:sz w:val="24"/>
          <w:lang w:eastAsia="ko-KR"/>
        </w:rPr>
      </w:pPr>
      <w:r>
        <w:rPr>
          <w:rFonts w:eastAsiaTheme="minorEastAsia" w:hint="eastAsia"/>
          <w:sz w:val="24"/>
          <w:lang w:eastAsia="ko-KR"/>
        </w:rPr>
        <w:t>2</w:t>
      </w:r>
      <w:r>
        <w:rPr>
          <w:rFonts w:eastAsiaTheme="minorEastAsia"/>
          <w:sz w:val="24"/>
          <w:lang w:eastAsia="ko-KR"/>
        </w:rPr>
        <w:t xml:space="preserve">. </w:t>
      </w:r>
      <w:r>
        <w:rPr>
          <w:rFonts w:eastAsiaTheme="minorEastAsia"/>
          <w:sz w:val="24"/>
          <w:lang w:eastAsia="ko-KR"/>
        </w:rPr>
        <w:tab/>
        <w:t>Hong, I. S. et al., “</w:t>
      </w:r>
      <w:r>
        <w:rPr>
          <w:rFonts w:eastAsiaTheme="minorEastAsia" w:hint="eastAsia"/>
          <w:sz w:val="24"/>
          <w:lang w:eastAsia="ko-KR"/>
        </w:rPr>
        <w:t>D</w:t>
      </w:r>
      <w:r>
        <w:rPr>
          <w:rFonts w:eastAsiaTheme="minorEastAsia"/>
          <w:sz w:val="24"/>
          <w:lang w:eastAsia="ko-KR"/>
        </w:rPr>
        <w:t xml:space="preserve">ata Reduction and Correction of Korea Pathfinder Lunar Orbiter (KPLO) Gamma-Ray Spectrometer (KGRS), </w:t>
      </w:r>
      <w:r w:rsidRPr="00F15F66">
        <w:rPr>
          <w:rFonts w:eastAsiaTheme="minorEastAsia"/>
          <w:i/>
          <w:iCs/>
          <w:sz w:val="24"/>
          <w:lang w:eastAsia="ko-KR"/>
        </w:rPr>
        <w:t>Earth and Space Science</w:t>
      </w:r>
      <w:r>
        <w:rPr>
          <w:rFonts w:eastAsiaTheme="minorEastAsia"/>
          <w:sz w:val="24"/>
          <w:lang w:eastAsia="ko-KR"/>
        </w:rPr>
        <w:t>, 12, e2024</w:t>
      </w:r>
      <w:r>
        <w:rPr>
          <w:rFonts w:eastAsiaTheme="minorEastAsia" w:hint="eastAsia"/>
          <w:sz w:val="24"/>
          <w:lang w:eastAsia="ko-KR"/>
        </w:rPr>
        <w:t>E</w:t>
      </w:r>
      <w:r>
        <w:rPr>
          <w:rFonts w:eastAsiaTheme="minorEastAsia"/>
          <w:sz w:val="24"/>
          <w:lang w:eastAsia="ko-KR"/>
        </w:rPr>
        <w:t>A004181</w:t>
      </w:r>
      <w:r w:rsidR="00F15F66">
        <w:rPr>
          <w:rFonts w:eastAsiaTheme="minorEastAsia"/>
          <w:sz w:val="24"/>
          <w:lang w:eastAsia="ko-KR"/>
        </w:rPr>
        <w:t xml:space="preserve"> (2025)</w:t>
      </w:r>
      <w:r>
        <w:rPr>
          <w:rFonts w:eastAsiaTheme="minorEastAsia"/>
          <w:sz w:val="24"/>
          <w:lang w:eastAsia="ko-KR"/>
        </w:rPr>
        <w:t>.</w:t>
      </w:r>
    </w:p>
    <w:p w14:paraId="05631824" w14:textId="77777777" w:rsidR="007C2CC9" w:rsidRPr="00624156" w:rsidRDefault="007C2CC9" w:rsidP="00962C3C">
      <w:pPr>
        <w:pStyle w:val="Paragraph"/>
        <w:ind w:firstLine="0"/>
        <w:jc w:val="both"/>
        <w:rPr>
          <w:sz w:val="24"/>
        </w:rPr>
      </w:pPr>
    </w:p>
    <w:p w14:paraId="45A1E29D" w14:textId="77777777" w:rsidR="00962C3C" w:rsidRDefault="00962C3C" w:rsidP="00962C3C">
      <w:pPr>
        <w:pStyle w:val="Paragraph"/>
        <w:ind w:firstLine="0"/>
        <w:jc w:val="both"/>
        <w:rPr>
          <w:sz w:val="24"/>
        </w:rPr>
      </w:pPr>
    </w:p>
    <w:p w14:paraId="5F4DCECF" w14:textId="59785B20" w:rsidR="0035680F" w:rsidRDefault="0062793F" w:rsidP="0062793F">
      <w:pPr>
        <w:pStyle w:val="Paragraph"/>
        <w:ind w:firstLine="0"/>
        <w:jc w:val="both"/>
        <w:rPr>
          <w:sz w:val="24"/>
        </w:rPr>
      </w:pPr>
      <w:r>
        <w:rPr>
          <w:sz w:val="23"/>
          <w:szCs w:val="23"/>
        </w:rPr>
        <w:t>Acknowledgments: This study was supported by research projects (KIGAM, 26–3216) funded by the Ministry of Science, ICT.</w:t>
      </w:r>
    </w:p>
    <w:sectPr w:rsidR="0035680F"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2AA1" w14:textId="77777777" w:rsidR="00BB6254" w:rsidRDefault="00BB6254" w:rsidP="003E14F0">
      <w:r>
        <w:separator/>
      </w:r>
    </w:p>
  </w:endnote>
  <w:endnote w:type="continuationSeparator" w:id="0">
    <w:p w14:paraId="116CE22D" w14:textId="77777777" w:rsidR="00BB6254" w:rsidRDefault="00BB6254"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4B144" w14:textId="77777777" w:rsidR="00BB6254" w:rsidRDefault="00BB6254" w:rsidP="003E14F0">
      <w:r>
        <w:separator/>
      </w:r>
    </w:p>
  </w:footnote>
  <w:footnote w:type="continuationSeparator" w:id="0">
    <w:p w14:paraId="3FE8ED4F" w14:textId="77777777" w:rsidR="00BB6254" w:rsidRDefault="00BB6254"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bordersDoNotSurroundHeader/>
  <w:bordersDoNotSurroundFooter/>
  <w:proofState w:spelling="clean"/>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41F6"/>
    <w:rsid w:val="00023BF7"/>
    <w:rsid w:val="00085FC9"/>
    <w:rsid w:val="000A6191"/>
    <w:rsid w:val="000C2F06"/>
    <w:rsid w:val="00101F2B"/>
    <w:rsid w:val="00106416"/>
    <w:rsid w:val="00151332"/>
    <w:rsid w:val="001562AE"/>
    <w:rsid w:val="001A29C1"/>
    <w:rsid w:val="002337AB"/>
    <w:rsid w:val="00242EF7"/>
    <w:rsid w:val="002C0FDA"/>
    <w:rsid w:val="002D1AF0"/>
    <w:rsid w:val="002F203B"/>
    <w:rsid w:val="003037B8"/>
    <w:rsid w:val="00312617"/>
    <w:rsid w:val="003453BD"/>
    <w:rsid w:val="0035680F"/>
    <w:rsid w:val="0039136E"/>
    <w:rsid w:val="003A5E81"/>
    <w:rsid w:val="003C089C"/>
    <w:rsid w:val="003E14F0"/>
    <w:rsid w:val="003F7751"/>
    <w:rsid w:val="00412BD8"/>
    <w:rsid w:val="0044547B"/>
    <w:rsid w:val="004557DE"/>
    <w:rsid w:val="004725F0"/>
    <w:rsid w:val="00480450"/>
    <w:rsid w:val="0053338A"/>
    <w:rsid w:val="0056575C"/>
    <w:rsid w:val="005B788F"/>
    <w:rsid w:val="006058F5"/>
    <w:rsid w:val="00613610"/>
    <w:rsid w:val="00624156"/>
    <w:rsid w:val="006251A4"/>
    <w:rsid w:val="0062793F"/>
    <w:rsid w:val="00650C19"/>
    <w:rsid w:val="00677C23"/>
    <w:rsid w:val="00721613"/>
    <w:rsid w:val="0073449B"/>
    <w:rsid w:val="00744DE7"/>
    <w:rsid w:val="007724D1"/>
    <w:rsid w:val="0077674E"/>
    <w:rsid w:val="007A52AB"/>
    <w:rsid w:val="007C2CC9"/>
    <w:rsid w:val="007C54E7"/>
    <w:rsid w:val="008203D2"/>
    <w:rsid w:val="00844BEE"/>
    <w:rsid w:val="00862500"/>
    <w:rsid w:val="00864EAA"/>
    <w:rsid w:val="00880EBB"/>
    <w:rsid w:val="008A08C8"/>
    <w:rsid w:val="008D6EA7"/>
    <w:rsid w:val="008E5117"/>
    <w:rsid w:val="008F5392"/>
    <w:rsid w:val="009103B3"/>
    <w:rsid w:val="009535BD"/>
    <w:rsid w:val="00962C3C"/>
    <w:rsid w:val="009630F7"/>
    <w:rsid w:val="0097616E"/>
    <w:rsid w:val="009860C0"/>
    <w:rsid w:val="00A51E80"/>
    <w:rsid w:val="00A5573B"/>
    <w:rsid w:val="00B10A68"/>
    <w:rsid w:val="00B248C9"/>
    <w:rsid w:val="00B53D22"/>
    <w:rsid w:val="00BA385D"/>
    <w:rsid w:val="00BB6254"/>
    <w:rsid w:val="00BC1954"/>
    <w:rsid w:val="00C37DD7"/>
    <w:rsid w:val="00C758A1"/>
    <w:rsid w:val="00C870D2"/>
    <w:rsid w:val="00CB4E6E"/>
    <w:rsid w:val="00CD37BE"/>
    <w:rsid w:val="00D77CAF"/>
    <w:rsid w:val="00D80676"/>
    <w:rsid w:val="00D956BD"/>
    <w:rsid w:val="00DD1157"/>
    <w:rsid w:val="00E055AA"/>
    <w:rsid w:val="00E824A3"/>
    <w:rsid w:val="00E920BC"/>
    <w:rsid w:val="00E92657"/>
    <w:rsid w:val="00E92B11"/>
    <w:rsid w:val="00F15F66"/>
    <w:rsid w:val="00F53E8A"/>
    <w:rsid w:val="00F62524"/>
    <w:rsid w:val="00F97D6A"/>
    <w:rsid w:val="00FB4185"/>
    <w:rsid w:val="00FD23B7"/>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FC9"/>
    <w:rPr>
      <w:rFonts w:ascii="Times New Roman" w:eastAsia="Times New Roman" w:hAnsi="Times New Roman"/>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085FC9"/>
    <w:pPr>
      <w:ind w:firstLine="360"/>
    </w:pPr>
  </w:style>
  <w:style w:type="character" w:styleId="a3">
    <w:name w:val="Hyperlink"/>
    <w:uiPriority w:val="99"/>
    <w:unhideWhenUsed/>
    <w:rsid w:val="0035680F"/>
    <w:rPr>
      <w:color w:val="0000FF"/>
      <w:u w:val="single"/>
    </w:rPr>
  </w:style>
  <w:style w:type="paragraph" w:styleId="a4">
    <w:name w:val="header"/>
    <w:basedOn w:val="a"/>
    <w:link w:val="Char"/>
    <w:uiPriority w:val="99"/>
    <w:semiHidden/>
    <w:unhideWhenUsed/>
    <w:rsid w:val="003E14F0"/>
    <w:pPr>
      <w:tabs>
        <w:tab w:val="center" w:pos="4680"/>
        <w:tab w:val="right" w:pos="9360"/>
      </w:tabs>
    </w:pPr>
  </w:style>
  <w:style w:type="character" w:customStyle="1" w:styleId="Char">
    <w:name w:val="머리글 Char"/>
    <w:link w:val="a4"/>
    <w:uiPriority w:val="99"/>
    <w:semiHidden/>
    <w:rsid w:val="003E14F0"/>
    <w:rPr>
      <w:rFonts w:ascii="Times New Roman" w:eastAsia="Times New Roman" w:hAnsi="Times New Roman" w:cs="Times New Roman"/>
      <w:sz w:val="20"/>
      <w:szCs w:val="20"/>
      <w:lang w:eastAsia="ja-JP"/>
    </w:rPr>
  </w:style>
  <w:style w:type="paragraph" w:styleId="a5">
    <w:name w:val="footer"/>
    <w:basedOn w:val="a"/>
    <w:link w:val="Char0"/>
    <w:uiPriority w:val="99"/>
    <w:semiHidden/>
    <w:unhideWhenUsed/>
    <w:rsid w:val="003E14F0"/>
    <w:pPr>
      <w:tabs>
        <w:tab w:val="center" w:pos="4680"/>
        <w:tab w:val="right" w:pos="9360"/>
      </w:tabs>
    </w:pPr>
  </w:style>
  <w:style w:type="character" w:customStyle="1" w:styleId="Char0">
    <w:name w:val="바닥글 Char"/>
    <w:link w:val="a5"/>
    <w:uiPriority w:val="99"/>
    <w:semiHidden/>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a6">
    <w:name w:val="annotation reference"/>
    <w:uiPriority w:val="99"/>
    <w:semiHidden/>
    <w:unhideWhenUsed/>
    <w:rsid w:val="00151332"/>
    <w:rPr>
      <w:sz w:val="16"/>
      <w:szCs w:val="16"/>
    </w:rPr>
  </w:style>
  <w:style w:type="paragraph" w:styleId="a7">
    <w:name w:val="annotation text"/>
    <w:basedOn w:val="a"/>
    <w:link w:val="Char1"/>
    <w:uiPriority w:val="99"/>
    <w:semiHidden/>
    <w:unhideWhenUsed/>
    <w:rsid w:val="00151332"/>
  </w:style>
  <w:style w:type="character" w:customStyle="1" w:styleId="Char1">
    <w:name w:val="메모 텍스트 Char"/>
    <w:link w:val="a7"/>
    <w:uiPriority w:val="99"/>
    <w:semiHidden/>
    <w:rsid w:val="00151332"/>
    <w:rPr>
      <w:rFonts w:ascii="Times New Roman" w:eastAsia="Times New Roman" w:hAnsi="Times New Roman"/>
      <w:lang w:eastAsia="ja-JP"/>
    </w:rPr>
  </w:style>
  <w:style w:type="paragraph" w:styleId="a8">
    <w:name w:val="annotation subject"/>
    <w:basedOn w:val="a7"/>
    <w:next w:val="a7"/>
    <w:link w:val="Char2"/>
    <w:uiPriority w:val="99"/>
    <w:semiHidden/>
    <w:unhideWhenUsed/>
    <w:rsid w:val="00151332"/>
    <w:rPr>
      <w:b/>
      <w:bCs/>
    </w:rPr>
  </w:style>
  <w:style w:type="character" w:customStyle="1" w:styleId="Char2">
    <w:name w:val="메모 주제 Char"/>
    <w:link w:val="a8"/>
    <w:uiPriority w:val="99"/>
    <w:semiHidden/>
    <w:rsid w:val="00151332"/>
    <w:rPr>
      <w:rFonts w:ascii="Times New Roman" w:eastAsia="Times New Roman" w:hAnsi="Times New Roman"/>
      <w:b/>
      <w:bCs/>
      <w:lang w:eastAsia="ja-JP"/>
    </w:rPr>
  </w:style>
  <w:style w:type="paragraph" w:styleId="a9">
    <w:name w:val="Balloon Text"/>
    <w:basedOn w:val="a"/>
    <w:link w:val="Char3"/>
    <w:uiPriority w:val="99"/>
    <w:semiHidden/>
    <w:unhideWhenUsed/>
    <w:rsid w:val="00151332"/>
    <w:rPr>
      <w:rFonts w:ascii="Segoe UI" w:hAnsi="Segoe UI" w:cs="Segoe UI"/>
      <w:sz w:val="18"/>
      <w:szCs w:val="18"/>
    </w:rPr>
  </w:style>
  <w:style w:type="character" w:customStyle="1" w:styleId="Char3">
    <w:name w:val="풍선 도움말 텍스트 Char"/>
    <w:link w:val="a9"/>
    <w:uiPriority w:val="99"/>
    <w:semiHidden/>
    <w:rsid w:val="00151332"/>
    <w:rPr>
      <w:rFonts w:ascii="Segoe UI" w:eastAsia="Times New Roman" w:hAnsi="Segoe UI" w:cs="Segoe UI"/>
      <w:sz w:val="18"/>
      <w:szCs w:val="18"/>
      <w:lang w:eastAsia="ja-JP"/>
    </w:rPr>
  </w:style>
  <w:style w:type="paragraph" w:styleId="aa">
    <w:name w:val="caption"/>
    <w:basedOn w:val="a"/>
    <w:next w:val="a"/>
    <w:uiPriority w:val="35"/>
    <w:unhideWhenUsed/>
    <w:qFormat/>
    <w:rsid w:val="0056575C"/>
    <w:pPr>
      <w:spacing w:after="200"/>
    </w:pPr>
    <w:rPr>
      <w:i/>
      <w:iCs/>
      <w:color w:val="44546A" w:themeColor="text2"/>
      <w:sz w:val="18"/>
      <w:szCs w:val="18"/>
    </w:rPr>
  </w:style>
  <w:style w:type="character" w:styleId="ab">
    <w:name w:val="Unresolved Mention"/>
    <w:basedOn w:val="a0"/>
    <w:uiPriority w:val="99"/>
    <w:semiHidden/>
    <w:unhideWhenUsed/>
    <w:rsid w:val="008A08C8"/>
    <w:rPr>
      <w:color w:val="605E5C"/>
      <w:shd w:val="clear" w:color="auto" w:fill="E1DFDD"/>
    </w:rPr>
  </w:style>
  <w:style w:type="character" w:styleId="ac">
    <w:name w:val="FollowedHyperlink"/>
    <w:basedOn w:val="a0"/>
    <w:uiPriority w:val="99"/>
    <w:semiHidden/>
    <w:unhideWhenUsed/>
    <w:rsid w:val="008A08C8"/>
    <w:rPr>
      <w:color w:val="954F72" w:themeColor="followedHyperlink"/>
      <w:u w:val="single"/>
    </w:rPr>
  </w:style>
  <w:style w:type="paragraph" w:customStyle="1" w:styleId="Default">
    <w:name w:val="Default"/>
    <w:rsid w:val="009630F7"/>
    <w:pPr>
      <w:widowControl w:val="0"/>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6667">
      <w:bodyDiv w:val="1"/>
      <w:marLeft w:val="0"/>
      <w:marRight w:val="0"/>
      <w:marTop w:val="0"/>
      <w:marBottom w:val="0"/>
      <w:divBdr>
        <w:top w:val="none" w:sz="0" w:space="0" w:color="auto"/>
        <w:left w:val="none" w:sz="0" w:space="0" w:color="auto"/>
        <w:bottom w:val="none" w:sz="0" w:space="0" w:color="auto"/>
        <w:right w:val="none" w:sz="0" w:space="0" w:color="auto"/>
      </w:divBdr>
      <w:divsChild>
        <w:div w:id="704989635">
          <w:marLeft w:val="0"/>
          <w:marRight w:val="0"/>
          <w:marTop w:val="0"/>
          <w:marBottom w:val="0"/>
          <w:divBdr>
            <w:top w:val="none" w:sz="0" w:space="0" w:color="auto"/>
            <w:left w:val="none" w:sz="0" w:space="0" w:color="auto"/>
            <w:bottom w:val="none" w:sz="0" w:space="0" w:color="auto"/>
            <w:right w:val="none" w:sz="0" w:space="0" w:color="auto"/>
          </w:divBdr>
          <w:divsChild>
            <w:div w:id="1779132861">
              <w:marLeft w:val="0"/>
              <w:marRight w:val="0"/>
              <w:marTop w:val="0"/>
              <w:marBottom w:val="0"/>
              <w:divBdr>
                <w:top w:val="none" w:sz="0" w:space="0" w:color="auto"/>
                <w:left w:val="none" w:sz="0" w:space="0" w:color="auto"/>
                <w:bottom w:val="none" w:sz="0" w:space="0" w:color="auto"/>
                <w:right w:val="none" w:sz="0" w:space="0" w:color="auto"/>
              </w:divBdr>
              <w:divsChild>
                <w:div w:id="83034795">
                  <w:marLeft w:val="0"/>
                  <w:marRight w:val="0"/>
                  <w:marTop w:val="0"/>
                  <w:marBottom w:val="0"/>
                  <w:divBdr>
                    <w:top w:val="none" w:sz="0" w:space="0" w:color="auto"/>
                    <w:left w:val="none" w:sz="0" w:space="0" w:color="auto"/>
                    <w:bottom w:val="none" w:sz="0" w:space="0" w:color="auto"/>
                    <w:right w:val="none" w:sz="0" w:space="0" w:color="auto"/>
                  </w:divBdr>
                  <w:divsChild>
                    <w:div w:id="1743792318">
                      <w:marLeft w:val="0"/>
                      <w:marRight w:val="0"/>
                      <w:marTop w:val="0"/>
                      <w:marBottom w:val="0"/>
                      <w:divBdr>
                        <w:top w:val="none" w:sz="0" w:space="0" w:color="auto"/>
                        <w:left w:val="none" w:sz="0" w:space="0" w:color="auto"/>
                        <w:bottom w:val="none" w:sz="0" w:space="0" w:color="auto"/>
                        <w:right w:val="none" w:sz="0" w:space="0" w:color="auto"/>
                      </w:divBdr>
                      <w:divsChild>
                        <w:div w:id="206113518">
                          <w:marLeft w:val="0"/>
                          <w:marRight w:val="0"/>
                          <w:marTop w:val="0"/>
                          <w:marBottom w:val="0"/>
                          <w:divBdr>
                            <w:top w:val="none" w:sz="0" w:space="0" w:color="auto"/>
                            <w:left w:val="none" w:sz="0" w:space="0" w:color="auto"/>
                            <w:bottom w:val="none" w:sz="0" w:space="0" w:color="auto"/>
                            <w:right w:val="none" w:sz="0" w:space="0" w:color="auto"/>
                          </w:divBdr>
                          <w:divsChild>
                            <w:div w:id="1666128621">
                              <w:marLeft w:val="0"/>
                              <w:marRight w:val="0"/>
                              <w:marTop w:val="0"/>
                              <w:marBottom w:val="0"/>
                              <w:divBdr>
                                <w:top w:val="none" w:sz="0" w:space="0" w:color="auto"/>
                                <w:left w:val="none" w:sz="0" w:space="0" w:color="auto"/>
                                <w:bottom w:val="none" w:sz="0" w:space="0" w:color="auto"/>
                                <w:right w:val="none" w:sz="0" w:space="0" w:color="auto"/>
                              </w:divBdr>
                              <w:divsChild>
                                <w:div w:id="1830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jkim@kigam.re.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499</Words>
  <Characters>2850</Characters>
  <Application>Microsoft Office Word</Application>
  <DocSecurity>0</DocSecurity>
  <Lines>23</Lines>
  <Paragraphs>6</Paragraphs>
  <ScaleCrop>false</ScaleCrop>
  <HeadingPairs>
    <vt:vector size="6" baseType="variant">
      <vt:variant>
        <vt:lpstr>제목</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LLNL</Company>
  <LinksUpToDate>false</LinksUpToDate>
  <CharactersWithSpaces>3343</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Kyeong Kim</cp:lastModifiedBy>
  <cp:revision>7</cp:revision>
  <cp:lastPrinted>2012-01-20T14:14:00Z</cp:lastPrinted>
  <dcterms:created xsi:type="dcterms:W3CDTF">2026-01-07T13:06:00Z</dcterms:created>
  <dcterms:modified xsi:type="dcterms:W3CDTF">2026-01-08T04:01:00Z</dcterms:modified>
</cp:coreProperties>
</file>