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A24B" w14:textId="44D8DCF3" w:rsidR="00700586" w:rsidRDefault="00E34347" w:rsidP="00E34347">
      <w:pPr>
        <w:jc w:val="center"/>
        <w:rPr>
          <w:rFonts w:eastAsiaTheme="minorEastAsia"/>
          <w:b/>
          <w:sz w:val="24"/>
          <w:lang w:eastAsia="ko-KR"/>
        </w:rPr>
      </w:pPr>
      <w:r w:rsidRPr="00E34347">
        <w:rPr>
          <w:b/>
          <w:sz w:val="24"/>
        </w:rPr>
        <w:t>Cryogenic Performance of a Diffuse BGO Scintillator Array in the KAPAE Phase II Detector</w:t>
      </w:r>
    </w:p>
    <w:p w14:paraId="18EDBE81" w14:textId="77777777" w:rsidR="00E34347" w:rsidRPr="00E34347" w:rsidRDefault="00E34347" w:rsidP="00700586">
      <w:pPr>
        <w:jc w:val="center"/>
        <w:rPr>
          <w:rFonts w:eastAsiaTheme="minorEastAsia"/>
          <w:b/>
          <w:sz w:val="24"/>
          <w:lang w:eastAsia="ko-KR"/>
        </w:rPr>
      </w:pPr>
    </w:p>
    <w:p w14:paraId="4C9E6C9C" w14:textId="35324518" w:rsidR="00085FC9" w:rsidRPr="00085FC9" w:rsidRDefault="001F31AD" w:rsidP="00962C3C">
      <w:pPr>
        <w:jc w:val="center"/>
        <w:rPr>
          <w:sz w:val="24"/>
        </w:rPr>
      </w:pPr>
      <w:proofErr w:type="spellStart"/>
      <w:r>
        <w:rPr>
          <w:sz w:val="24"/>
        </w:rPr>
        <w:t>Dongwoo</w:t>
      </w:r>
      <w:proofErr w:type="spellEnd"/>
      <w:r>
        <w:rPr>
          <w:sz w:val="24"/>
        </w:rPr>
        <w:t xml:space="preserve"> Jeong</w:t>
      </w:r>
      <w:r w:rsidR="00085FC9" w:rsidRPr="00663F85">
        <w:rPr>
          <w:sz w:val="24"/>
          <w:vertAlign w:val="superscript"/>
        </w:rPr>
        <w:t>1</w:t>
      </w:r>
      <w:r w:rsidR="00085FC9">
        <w:rPr>
          <w:sz w:val="24"/>
        </w:rPr>
        <w:t xml:space="preserve">, </w:t>
      </w:r>
      <w:proofErr w:type="spellStart"/>
      <w:r w:rsidR="00AC3E29" w:rsidRPr="00AC3E29">
        <w:rPr>
          <w:sz w:val="24"/>
        </w:rPr>
        <w:t>HyeoungWoo</w:t>
      </w:r>
      <w:proofErr w:type="spellEnd"/>
      <w:r w:rsidR="00AC3E29">
        <w:rPr>
          <w:rFonts w:eastAsiaTheme="minorEastAsia" w:hint="eastAsia"/>
          <w:sz w:val="24"/>
          <w:lang w:eastAsia="ko-KR"/>
        </w:rPr>
        <w:t xml:space="preserve"> </w:t>
      </w:r>
      <w:r>
        <w:rPr>
          <w:sz w:val="24"/>
        </w:rPr>
        <w:t>Park</w:t>
      </w:r>
      <w:r w:rsidR="00085FC9" w:rsidRPr="00663F85">
        <w:rPr>
          <w:sz w:val="24"/>
          <w:vertAlign w:val="superscript"/>
        </w:rPr>
        <w:t>2</w:t>
      </w:r>
      <w:r w:rsidR="00085FC9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Jaehyeok</w:t>
      </w:r>
      <w:proofErr w:type="spellEnd"/>
      <w:r>
        <w:rPr>
          <w:sz w:val="24"/>
        </w:rPr>
        <w:t xml:space="preserve"> Kim</w:t>
      </w:r>
      <w:r w:rsidRPr="00085FC9">
        <w:rPr>
          <w:sz w:val="24"/>
          <w:vertAlign w:val="superscript"/>
        </w:rPr>
        <w:t>1</w:t>
      </w:r>
      <w:r>
        <w:rPr>
          <w:sz w:val="24"/>
        </w:rPr>
        <w:t xml:space="preserve">, </w:t>
      </w:r>
      <w:proofErr w:type="spellStart"/>
      <w:r>
        <w:rPr>
          <w:sz w:val="24"/>
        </w:rPr>
        <w:t>Jaeyoung</w:t>
      </w:r>
      <w:proofErr w:type="spellEnd"/>
      <w:r>
        <w:rPr>
          <w:sz w:val="24"/>
        </w:rPr>
        <w:t xml:space="preserve"> Cho</w:t>
      </w:r>
      <w:r w:rsidRPr="00085FC9">
        <w:rPr>
          <w:sz w:val="24"/>
          <w:vertAlign w:val="superscript"/>
        </w:rPr>
        <w:t>1</w:t>
      </w:r>
      <w:r>
        <w:rPr>
          <w:sz w:val="24"/>
        </w:rPr>
        <w:t>, Hong Joo Kim</w:t>
      </w:r>
      <w:r w:rsidR="00085FC9" w:rsidRPr="00085FC9">
        <w:rPr>
          <w:sz w:val="24"/>
          <w:vertAlign w:val="superscript"/>
        </w:rPr>
        <w:t>1</w:t>
      </w:r>
    </w:p>
    <w:p w14:paraId="74B98797" w14:textId="77777777" w:rsidR="00085FC9" w:rsidRDefault="00085FC9" w:rsidP="00962C3C">
      <w:pPr>
        <w:rPr>
          <w:sz w:val="24"/>
        </w:rPr>
      </w:pPr>
    </w:p>
    <w:p w14:paraId="0C93B3C7" w14:textId="3247976B" w:rsidR="00085FC9" w:rsidRPr="00490582" w:rsidRDefault="00085FC9" w:rsidP="00962C3C">
      <w:pPr>
        <w:jc w:val="center"/>
        <w:rPr>
          <w:rFonts w:eastAsia="바탕"/>
          <w:i/>
          <w:sz w:val="24"/>
          <w:lang w:eastAsia="ko-KR"/>
        </w:rPr>
      </w:pPr>
      <w:r w:rsidRPr="00490582">
        <w:rPr>
          <w:i/>
          <w:sz w:val="24"/>
          <w:vertAlign w:val="superscript"/>
        </w:rPr>
        <w:t>1</w:t>
      </w:r>
      <w:r w:rsidR="00490582" w:rsidRPr="00490582">
        <w:rPr>
          <w:rFonts w:eastAsia="바탕"/>
          <w:i/>
          <w:sz w:val="24"/>
          <w:lang w:eastAsia="ko-KR"/>
        </w:rPr>
        <w:t xml:space="preserve">Center </w:t>
      </w:r>
      <w:r w:rsidR="00490582">
        <w:rPr>
          <w:rFonts w:eastAsia="바탕"/>
          <w:i/>
          <w:sz w:val="24"/>
          <w:lang w:eastAsia="ko-KR"/>
        </w:rPr>
        <w:t>f</w:t>
      </w:r>
      <w:r w:rsidR="00490582" w:rsidRPr="00490582">
        <w:rPr>
          <w:rFonts w:eastAsia="바탕"/>
          <w:i/>
          <w:sz w:val="24"/>
          <w:lang w:eastAsia="ko-KR"/>
        </w:rPr>
        <w:t xml:space="preserve">or </w:t>
      </w:r>
      <w:r w:rsidR="00490582">
        <w:rPr>
          <w:rFonts w:eastAsia="바탕"/>
          <w:i/>
          <w:sz w:val="24"/>
          <w:lang w:eastAsia="ko-KR"/>
        </w:rPr>
        <w:t>H</w:t>
      </w:r>
      <w:r w:rsidR="00490582" w:rsidRPr="00490582">
        <w:rPr>
          <w:rFonts w:eastAsia="바탕"/>
          <w:i/>
          <w:sz w:val="24"/>
          <w:lang w:eastAsia="ko-KR"/>
        </w:rPr>
        <w:t xml:space="preserve">igh </w:t>
      </w:r>
      <w:r w:rsidR="00490582">
        <w:rPr>
          <w:rFonts w:eastAsia="바탕"/>
          <w:i/>
          <w:sz w:val="24"/>
          <w:lang w:eastAsia="ko-KR"/>
        </w:rPr>
        <w:t>E</w:t>
      </w:r>
      <w:r w:rsidR="00490582" w:rsidRPr="00490582">
        <w:rPr>
          <w:rFonts w:eastAsia="바탕"/>
          <w:i/>
          <w:sz w:val="24"/>
          <w:lang w:eastAsia="ko-KR"/>
        </w:rPr>
        <w:t xml:space="preserve">nergy </w:t>
      </w:r>
      <w:r w:rsidR="00490582">
        <w:rPr>
          <w:rFonts w:eastAsia="바탕"/>
          <w:i/>
          <w:sz w:val="24"/>
          <w:lang w:eastAsia="ko-KR"/>
        </w:rPr>
        <w:t>P</w:t>
      </w:r>
      <w:r w:rsidR="00490582" w:rsidRPr="00490582">
        <w:rPr>
          <w:rFonts w:eastAsia="바탕"/>
          <w:i/>
          <w:sz w:val="24"/>
          <w:lang w:eastAsia="ko-KR"/>
        </w:rPr>
        <w:t>hysics, Kyungpook National University</w:t>
      </w:r>
      <w:r w:rsidR="00490582">
        <w:rPr>
          <w:rFonts w:eastAsia="바탕"/>
          <w:i/>
          <w:sz w:val="24"/>
          <w:lang w:eastAsia="ko-KR"/>
        </w:rPr>
        <w:t>, Daegu, Republic of Korea</w:t>
      </w:r>
    </w:p>
    <w:p w14:paraId="19649FCE" w14:textId="5D51569C" w:rsidR="00085FC9" w:rsidRDefault="00085FC9" w:rsidP="00962C3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 w:rsidR="00490582" w:rsidRPr="00CB10ED">
        <w:rPr>
          <w:i/>
          <w:sz w:val="24"/>
        </w:rPr>
        <w:t>Central Research Institute, Korea Hydro &amp;</w:t>
      </w:r>
      <w:r w:rsidR="00490582">
        <w:rPr>
          <w:i/>
          <w:sz w:val="24"/>
        </w:rPr>
        <w:t xml:space="preserve"> </w:t>
      </w:r>
      <w:r w:rsidR="00490582" w:rsidRPr="00CB10ED">
        <w:rPr>
          <w:i/>
          <w:sz w:val="24"/>
        </w:rPr>
        <w:t xml:space="preserve">Nuclear Power Co., Ltd., Daejeon </w:t>
      </w:r>
      <w:r w:rsidR="00490582" w:rsidRPr="00993FAA">
        <w:rPr>
          <w:i/>
          <w:sz w:val="24"/>
        </w:rPr>
        <w:t>Korea</w:t>
      </w:r>
    </w:p>
    <w:p w14:paraId="44535264" w14:textId="2C26374A" w:rsidR="0044547B" w:rsidRPr="00490582" w:rsidRDefault="0044547B" w:rsidP="00C37DD7">
      <w:pPr>
        <w:jc w:val="center"/>
        <w:rPr>
          <w:rFonts w:ascii="바탕" w:eastAsia="바탕" w:hAnsi="바탕" w:cs="바탕"/>
          <w:iCs/>
          <w:sz w:val="24"/>
          <w:u w:val="single"/>
          <w:lang w:eastAsia="ko-KR"/>
        </w:rPr>
      </w:pPr>
      <w:r>
        <w:rPr>
          <w:iCs/>
          <w:sz w:val="24"/>
        </w:rPr>
        <w:t xml:space="preserve">Corresponding Author Email: </w:t>
      </w:r>
      <w:r w:rsidR="00490582">
        <w:rPr>
          <w:iCs/>
          <w:sz w:val="24"/>
        </w:rPr>
        <w:t>hongjoo@knu.ac.kr</w:t>
      </w:r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41FED5CB" w14:textId="0407114E" w:rsidR="00927B81" w:rsidRPr="00927B81" w:rsidRDefault="00927B81" w:rsidP="00927B81">
      <w:pPr>
        <w:pStyle w:val="Paragraph"/>
        <w:jc w:val="both"/>
        <w:rPr>
          <w:sz w:val="24"/>
        </w:rPr>
      </w:pPr>
      <w:r w:rsidRPr="00927B81">
        <w:rPr>
          <w:sz w:val="24"/>
        </w:rPr>
        <w:t xml:space="preserve">The KNU Advanced Positronium Annihilation Experiment (KAPAE) Phase II employs a 4π BGO scintillation calorimeter optimized for high-sensitivity rare-event searches. In this work, we focus primarily on the scintillation performance of a chemically diffused BGO crystal array developed for cryogenic operation. The crystal surfaces were treated with a chemical diffusion process to enhance light collection </w:t>
      </w:r>
      <w:r w:rsidR="007A133A">
        <w:rPr>
          <w:rFonts w:eastAsiaTheme="minorEastAsia" w:hint="eastAsia"/>
          <w:sz w:val="24"/>
          <w:lang w:eastAsia="ko-KR"/>
        </w:rPr>
        <w:t>efficiency</w:t>
      </w:r>
      <w:r w:rsidRPr="00927B81">
        <w:rPr>
          <w:sz w:val="24"/>
        </w:rPr>
        <w:t>, and the detector was operated at low temperature to suppress thermal noise.</w:t>
      </w:r>
    </w:p>
    <w:p w14:paraId="685CAE27" w14:textId="77777777" w:rsidR="00927B81" w:rsidRPr="00927B81" w:rsidRDefault="00927B81" w:rsidP="00927B81">
      <w:pPr>
        <w:pStyle w:val="Paragraph"/>
        <w:jc w:val="both"/>
        <w:rPr>
          <w:sz w:val="24"/>
        </w:rPr>
      </w:pPr>
    </w:p>
    <w:p w14:paraId="328BBA07" w14:textId="2971CE98" w:rsidR="00927B81" w:rsidRDefault="00927B81" w:rsidP="00927B81">
      <w:pPr>
        <w:pStyle w:val="Paragraph"/>
        <w:jc w:val="both"/>
        <w:rPr>
          <w:sz w:val="24"/>
          <w:lang w:eastAsia="ko-KR"/>
        </w:rPr>
      </w:pPr>
      <w:r w:rsidRPr="00927B81">
        <w:rPr>
          <w:sz w:val="24"/>
        </w:rPr>
        <w:t xml:space="preserve">Systematic measurements demonstrate that the diffused BGO crystals exhibit improved scintillation characteristics under cryogenic conditions. At −37 °C, the scintillation decay time was measured to be 960 ns, and the combined effects of enhanced photon collection from the diffused surfaces and reduced </w:t>
      </w:r>
      <w:proofErr w:type="spellStart"/>
      <w:r w:rsidRPr="00927B81">
        <w:rPr>
          <w:sz w:val="24"/>
        </w:rPr>
        <w:t>SiPM</w:t>
      </w:r>
      <w:proofErr w:type="spellEnd"/>
      <w:r w:rsidRPr="00927B81">
        <w:rPr>
          <w:sz w:val="24"/>
        </w:rPr>
        <w:t xml:space="preserve"> thermal noise under cryogenic operation resulted in </w:t>
      </w:r>
      <w:proofErr w:type="gramStart"/>
      <w:r w:rsidRPr="00927B81">
        <w:rPr>
          <w:sz w:val="24"/>
        </w:rPr>
        <w:t>a</w:t>
      </w:r>
      <w:proofErr w:type="gramEnd"/>
      <w:r w:rsidRPr="00927B81">
        <w:rPr>
          <w:sz w:val="24"/>
        </w:rPr>
        <w:t xml:space="preserve"> improved energy resolution of 9% at 662 keV. This performance represents </w:t>
      </w:r>
      <w:proofErr w:type="gramStart"/>
      <w:r w:rsidRPr="00927B81">
        <w:rPr>
          <w:sz w:val="24"/>
        </w:rPr>
        <w:t>a</w:t>
      </w:r>
      <w:proofErr w:type="gramEnd"/>
      <w:r w:rsidRPr="00927B81">
        <w:rPr>
          <w:sz w:val="24"/>
        </w:rPr>
        <w:t xml:space="preserve"> improvement over earlier BGO positronium calorimeters, including the ETH Zurich experiment, which reported resolutions of approximately 15% [1].</w:t>
      </w:r>
      <w:r>
        <w:rPr>
          <w:rFonts w:hint="eastAsia"/>
          <w:sz w:val="24"/>
          <w:lang w:eastAsia="ko-KR"/>
        </w:rPr>
        <w:t xml:space="preserve"> </w:t>
      </w:r>
      <w:r w:rsidRPr="00927B81">
        <w:rPr>
          <w:sz w:val="24"/>
        </w:rPr>
        <w:t xml:space="preserve">The </w:t>
      </w:r>
      <w:r w:rsidR="007A133A">
        <w:rPr>
          <w:rFonts w:eastAsiaTheme="minorEastAsia" w:hint="eastAsia"/>
          <w:sz w:val="24"/>
          <w:lang w:eastAsia="ko-KR"/>
        </w:rPr>
        <w:t>energy</w:t>
      </w:r>
      <w:r w:rsidRPr="00927B81">
        <w:rPr>
          <w:sz w:val="24"/>
        </w:rPr>
        <w:t xml:space="preserve"> resolution characteristics of BGO are consistent with established measurements [</w:t>
      </w:r>
      <w:r>
        <w:rPr>
          <w:rFonts w:hint="eastAsia"/>
          <w:sz w:val="24"/>
          <w:lang w:eastAsia="ko-KR"/>
        </w:rPr>
        <w:t>2</w:t>
      </w:r>
      <w:r w:rsidRPr="00927B81">
        <w:rPr>
          <w:sz w:val="24"/>
        </w:rPr>
        <w:t>].</w:t>
      </w:r>
    </w:p>
    <w:p w14:paraId="1C3C45D2" w14:textId="77777777" w:rsidR="00927B81" w:rsidRDefault="00927B81" w:rsidP="00927B81">
      <w:pPr>
        <w:pStyle w:val="Paragraph"/>
        <w:jc w:val="both"/>
        <w:rPr>
          <w:sz w:val="24"/>
          <w:lang w:eastAsia="ko-KR"/>
        </w:rPr>
      </w:pPr>
    </w:p>
    <w:p w14:paraId="400D70B9" w14:textId="6B4C0896" w:rsidR="0064012A" w:rsidRDefault="00927B81" w:rsidP="00927B81">
      <w:pPr>
        <w:pStyle w:val="Paragraph"/>
        <w:jc w:val="both"/>
        <w:rPr>
          <w:sz w:val="24"/>
          <w:lang w:eastAsia="ko-KR"/>
        </w:rPr>
      </w:pPr>
      <w:r w:rsidRPr="00927B81">
        <w:rPr>
          <w:sz w:val="24"/>
        </w:rPr>
        <w:t>The diffused BGO array was integrated into the KAPAE Phase II detector and operated continuously for 120 days in an underground environment [</w:t>
      </w:r>
      <w:r>
        <w:rPr>
          <w:rFonts w:hint="eastAsia"/>
          <w:sz w:val="24"/>
          <w:lang w:eastAsia="ko-KR"/>
        </w:rPr>
        <w:t>3</w:t>
      </w:r>
      <w:r w:rsidRPr="00927B81">
        <w:rPr>
          <w:sz w:val="24"/>
        </w:rPr>
        <w:t>], demonstrating stable long-term performance. Based on the measured detector response and validated Geant4 simulations [</w:t>
      </w:r>
      <w:r>
        <w:rPr>
          <w:rFonts w:hint="eastAsia"/>
          <w:sz w:val="24"/>
          <w:lang w:eastAsia="ko-KR"/>
        </w:rPr>
        <w:t>4</w:t>
      </w:r>
      <w:r w:rsidRPr="00927B81">
        <w:rPr>
          <w:sz w:val="24"/>
        </w:rPr>
        <w:t>], an expected sensitivity at the level of ~10⁻⁸ is achieved for invisible para-positronium decay searches. Analysis of the full dataset shows that the resulting branching-ratio upper limit surpasses previous BGO-based experimental constraints.</w:t>
      </w:r>
    </w:p>
    <w:p w14:paraId="668BDDF1" w14:textId="77777777" w:rsidR="00927B81" w:rsidRDefault="00927B81" w:rsidP="00927B81">
      <w:pPr>
        <w:pStyle w:val="Paragraph"/>
        <w:ind w:firstLine="0"/>
        <w:jc w:val="both"/>
        <w:rPr>
          <w:sz w:val="24"/>
          <w:lang w:eastAsia="ko-KR"/>
        </w:rPr>
      </w:pPr>
    </w:p>
    <w:p w14:paraId="6F098EA1" w14:textId="77777777" w:rsidR="00927B81" w:rsidRPr="00927B81" w:rsidRDefault="00927B81" w:rsidP="00927B81">
      <w:pPr>
        <w:pStyle w:val="Paragraph"/>
        <w:ind w:firstLine="0"/>
        <w:jc w:val="both"/>
        <w:rPr>
          <w:rFonts w:eastAsiaTheme="minorEastAsia"/>
          <w:sz w:val="24"/>
          <w:lang w:eastAsia="ko-KR"/>
        </w:rPr>
      </w:pPr>
    </w:p>
    <w:p w14:paraId="2EB15E99" w14:textId="77777777" w:rsidR="00055F2F" w:rsidRPr="00055F2F" w:rsidRDefault="00055F2F" w:rsidP="00055F2F">
      <w:pPr>
        <w:pStyle w:val="Paragraph"/>
        <w:ind w:firstLine="0"/>
        <w:jc w:val="both"/>
        <w:rPr>
          <w:rFonts w:eastAsiaTheme="minorEastAsia"/>
          <w:sz w:val="24"/>
          <w:lang w:eastAsia="ko-KR"/>
        </w:rPr>
      </w:pPr>
    </w:p>
    <w:p w14:paraId="0BF41350" w14:textId="517786DE" w:rsidR="00927B81" w:rsidRDefault="00927B81" w:rsidP="00927B81">
      <w:pPr>
        <w:pStyle w:val="Paragraph"/>
        <w:ind w:firstLine="0"/>
        <w:jc w:val="both"/>
        <w:rPr>
          <w:sz w:val="24"/>
          <w:lang w:eastAsia="ko-KR"/>
        </w:rPr>
      </w:pPr>
      <w:r w:rsidRPr="00927B81">
        <w:rPr>
          <w:sz w:val="24"/>
          <w:lang w:eastAsia="ko-KR"/>
        </w:rPr>
        <w:t>1.</w:t>
      </w:r>
      <w:r>
        <w:rPr>
          <w:sz w:val="24"/>
          <w:lang w:eastAsia="ko-KR"/>
        </w:rPr>
        <w:t xml:space="preserve"> </w:t>
      </w:r>
      <w:r w:rsidRPr="00927B81">
        <w:rPr>
          <w:sz w:val="24"/>
          <w:lang w:eastAsia="ko-KR"/>
        </w:rPr>
        <w:t>A. Badertscher et al., “Improved limit on invisible decays of positronium,” Phys. Rev. D 75, 032004 (2007).</w:t>
      </w:r>
    </w:p>
    <w:p w14:paraId="583CC3DD" w14:textId="77777777" w:rsidR="00927B81" w:rsidRDefault="00927B81" w:rsidP="00927B81">
      <w:pPr>
        <w:pStyle w:val="Paragraph"/>
        <w:ind w:firstLine="0"/>
        <w:jc w:val="both"/>
        <w:rPr>
          <w:sz w:val="24"/>
          <w:lang w:eastAsia="ko-KR"/>
        </w:rPr>
      </w:pPr>
    </w:p>
    <w:p w14:paraId="1D0D3622" w14:textId="04EB5CC7" w:rsidR="00927B81" w:rsidRDefault="00927B81" w:rsidP="00927B81">
      <w:pPr>
        <w:pStyle w:val="Paragraph"/>
        <w:ind w:firstLine="0"/>
        <w:jc w:val="both"/>
        <w:rPr>
          <w:sz w:val="24"/>
          <w:lang w:eastAsia="ko-KR"/>
        </w:rPr>
      </w:pPr>
      <w:r>
        <w:rPr>
          <w:rFonts w:hint="eastAsia"/>
          <w:sz w:val="24"/>
          <w:lang w:eastAsia="ko-KR"/>
        </w:rPr>
        <w:t>2</w:t>
      </w:r>
      <w:r w:rsidRPr="00927B81">
        <w:rPr>
          <w:sz w:val="24"/>
          <w:lang w:eastAsia="ko-KR"/>
        </w:rPr>
        <w:t>.</w:t>
      </w:r>
      <w:r>
        <w:rPr>
          <w:rFonts w:ascii="바탕" w:eastAsia="바탕" w:hAnsi="바탕" w:cs="바탕" w:hint="eastAsia"/>
          <w:sz w:val="24"/>
          <w:lang w:eastAsia="ko-KR"/>
        </w:rPr>
        <w:t xml:space="preserve"> </w:t>
      </w:r>
      <w:r w:rsidRPr="00927B81">
        <w:rPr>
          <w:sz w:val="24"/>
          <w:lang w:eastAsia="ko-KR"/>
        </w:rPr>
        <w:t xml:space="preserve">M. </w:t>
      </w:r>
      <w:proofErr w:type="spellStart"/>
      <w:r w:rsidRPr="00927B81">
        <w:rPr>
          <w:sz w:val="24"/>
          <w:lang w:eastAsia="ko-KR"/>
        </w:rPr>
        <w:t>Moszynski</w:t>
      </w:r>
      <w:proofErr w:type="spellEnd"/>
      <w:r w:rsidRPr="00927B81">
        <w:rPr>
          <w:sz w:val="24"/>
          <w:lang w:eastAsia="ko-KR"/>
        </w:rPr>
        <w:t xml:space="preserve"> et al., “Intrinsic energy resolution and light yield nonproportionality of BGO,” IEEE Trans. </w:t>
      </w:r>
      <w:proofErr w:type="spellStart"/>
      <w:r w:rsidRPr="00927B81">
        <w:rPr>
          <w:sz w:val="24"/>
          <w:lang w:eastAsia="ko-KR"/>
        </w:rPr>
        <w:t>Nucl</w:t>
      </w:r>
      <w:proofErr w:type="spellEnd"/>
      <w:r w:rsidRPr="00927B81">
        <w:rPr>
          <w:sz w:val="24"/>
          <w:lang w:eastAsia="ko-KR"/>
        </w:rPr>
        <w:t>. Sci. 51, 1074–1079 (2004).</w:t>
      </w:r>
    </w:p>
    <w:p w14:paraId="66718201" w14:textId="77777777" w:rsidR="00927B81" w:rsidRPr="00927B81" w:rsidRDefault="00927B81" w:rsidP="00927B81">
      <w:pPr>
        <w:pStyle w:val="Paragraph"/>
        <w:ind w:firstLine="0"/>
        <w:jc w:val="both"/>
        <w:rPr>
          <w:sz w:val="24"/>
          <w:lang w:eastAsia="ko-KR"/>
        </w:rPr>
      </w:pPr>
    </w:p>
    <w:p w14:paraId="2D95A999" w14:textId="0FA7067F" w:rsidR="00927B81" w:rsidRPr="00927B81" w:rsidRDefault="00927B81" w:rsidP="00927B81">
      <w:pPr>
        <w:pStyle w:val="Paragraph"/>
        <w:ind w:firstLine="0"/>
        <w:jc w:val="both"/>
        <w:rPr>
          <w:sz w:val="24"/>
          <w:lang w:eastAsia="ko-KR"/>
        </w:rPr>
      </w:pPr>
      <w:r>
        <w:rPr>
          <w:rFonts w:hint="eastAsia"/>
          <w:sz w:val="24"/>
          <w:lang w:eastAsia="ko-KR"/>
        </w:rPr>
        <w:t>3</w:t>
      </w:r>
      <w:r w:rsidRPr="00927B81">
        <w:rPr>
          <w:sz w:val="24"/>
          <w:lang w:eastAsia="ko-KR"/>
        </w:rPr>
        <w:t>.</w:t>
      </w:r>
      <w:r>
        <w:rPr>
          <w:rFonts w:hint="eastAsia"/>
          <w:sz w:val="24"/>
          <w:lang w:eastAsia="ko-KR"/>
        </w:rPr>
        <w:t xml:space="preserve"> </w:t>
      </w:r>
      <w:r w:rsidRPr="00927B81">
        <w:rPr>
          <w:sz w:val="24"/>
          <w:lang w:eastAsia="ko-KR"/>
        </w:rPr>
        <w:t xml:space="preserve">K. S. Park et al., “Construction of </w:t>
      </w:r>
      <w:proofErr w:type="spellStart"/>
      <w:r w:rsidRPr="00927B81">
        <w:rPr>
          <w:sz w:val="24"/>
          <w:lang w:eastAsia="ko-KR"/>
        </w:rPr>
        <w:t>Yemilab</w:t>
      </w:r>
      <w:proofErr w:type="spellEnd"/>
      <w:r w:rsidRPr="00927B81">
        <w:rPr>
          <w:sz w:val="24"/>
          <w:lang w:eastAsia="ko-KR"/>
        </w:rPr>
        <w:t>,” Frontiers in Physics 12, 1323991 (2024).</w:t>
      </w:r>
    </w:p>
    <w:p w14:paraId="53282531" w14:textId="77777777" w:rsidR="00927B81" w:rsidRDefault="00927B81" w:rsidP="00927B81">
      <w:pPr>
        <w:pStyle w:val="Paragraph"/>
        <w:ind w:firstLine="0"/>
        <w:jc w:val="both"/>
        <w:rPr>
          <w:sz w:val="24"/>
          <w:lang w:eastAsia="ko-KR"/>
        </w:rPr>
      </w:pPr>
    </w:p>
    <w:p w14:paraId="61981BA3" w14:textId="409CEB16" w:rsidR="00927B81" w:rsidRDefault="00927B81" w:rsidP="00927B81">
      <w:pPr>
        <w:pStyle w:val="Paragraph"/>
        <w:ind w:firstLine="0"/>
        <w:jc w:val="both"/>
        <w:rPr>
          <w:sz w:val="24"/>
          <w:lang w:eastAsia="ko-KR"/>
        </w:rPr>
      </w:pPr>
      <w:r>
        <w:rPr>
          <w:rFonts w:hint="eastAsia"/>
          <w:sz w:val="24"/>
          <w:lang w:eastAsia="ko-KR"/>
        </w:rPr>
        <w:t>4</w:t>
      </w:r>
      <w:r w:rsidRPr="00927B81">
        <w:rPr>
          <w:sz w:val="24"/>
          <w:lang w:eastAsia="ko-KR"/>
        </w:rPr>
        <w:t>.</w:t>
      </w:r>
      <w:r>
        <w:rPr>
          <w:rFonts w:hint="eastAsia"/>
          <w:sz w:val="24"/>
          <w:lang w:eastAsia="ko-KR"/>
        </w:rPr>
        <w:t xml:space="preserve"> </w:t>
      </w:r>
      <w:r w:rsidRPr="00927B81">
        <w:rPr>
          <w:sz w:val="24"/>
          <w:lang w:eastAsia="ko-KR"/>
        </w:rPr>
        <w:t xml:space="preserve">S. Agostinelli et al., “GEANT4—a simulation toolkit,” </w:t>
      </w:r>
      <w:proofErr w:type="spellStart"/>
      <w:r w:rsidRPr="00927B81">
        <w:rPr>
          <w:sz w:val="24"/>
          <w:lang w:eastAsia="ko-KR"/>
        </w:rPr>
        <w:t>Nucl</w:t>
      </w:r>
      <w:proofErr w:type="spellEnd"/>
      <w:r w:rsidRPr="00927B81">
        <w:rPr>
          <w:sz w:val="24"/>
          <w:lang w:eastAsia="ko-KR"/>
        </w:rPr>
        <w:t xml:space="preserve">. </w:t>
      </w:r>
      <w:proofErr w:type="spellStart"/>
      <w:r w:rsidRPr="00927B81">
        <w:rPr>
          <w:sz w:val="24"/>
          <w:lang w:eastAsia="ko-KR"/>
        </w:rPr>
        <w:t>Instrum</w:t>
      </w:r>
      <w:proofErr w:type="spellEnd"/>
      <w:r w:rsidRPr="00927B81">
        <w:rPr>
          <w:sz w:val="24"/>
          <w:lang w:eastAsia="ko-KR"/>
        </w:rPr>
        <w:t>. Methods Phys. Res. A 506, 250–303 (2003).</w:t>
      </w:r>
    </w:p>
    <w:p w14:paraId="44BCDDE9" w14:textId="77777777" w:rsidR="00927B81" w:rsidRPr="00927B81" w:rsidRDefault="00927B81" w:rsidP="00927B81">
      <w:pPr>
        <w:pStyle w:val="Paragraph"/>
        <w:ind w:firstLine="0"/>
        <w:jc w:val="both"/>
        <w:rPr>
          <w:sz w:val="24"/>
          <w:lang w:eastAsia="ko-KR"/>
        </w:rPr>
      </w:pPr>
    </w:p>
    <w:sectPr w:rsidR="00927B81" w:rsidRPr="00927B81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8B27" w14:textId="77777777" w:rsidR="00EA04FE" w:rsidRDefault="00EA04FE" w:rsidP="003E14F0">
      <w:r>
        <w:separator/>
      </w:r>
    </w:p>
  </w:endnote>
  <w:endnote w:type="continuationSeparator" w:id="0">
    <w:p w14:paraId="0AEC2EB5" w14:textId="77777777" w:rsidR="00EA04FE" w:rsidRDefault="00EA04FE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B440" w14:textId="77777777" w:rsidR="00EA04FE" w:rsidRDefault="00EA04FE" w:rsidP="003E14F0">
      <w:r>
        <w:separator/>
      </w:r>
    </w:p>
  </w:footnote>
  <w:footnote w:type="continuationSeparator" w:id="0">
    <w:p w14:paraId="3BA46F0F" w14:textId="77777777" w:rsidR="00EA04FE" w:rsidRDefault="00EA04FE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23AFD"/>
    <w:multiLevelType w:val="hybridMultilevel"/>
    <w:tmpl w:val="056EADC0"/>
    <w:lvl w:ilvl="0" w:tplc="2E6A18F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567716808">
    <w:abstractNumId w:val="0"/>
  </w:num>
  <w:num w:numId="2" w16cid:durableId="578945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55F2F"/>
    <w:rsid w:val="00085FC9"/>
    <w:rsid w:val="000C2F06"/>
    <w:rsid w:val="000F28BB"/>
    <w:rsid w:val="00101F2B"/>
    <w:rsid w:val="00106416"/>
    <w:rsid w:val="00151332"/>
    <w:rsid w:val="00154731"/>
    <w:rsid w:val="001562AE"/>
    <w:rsid w:val="001A29C1"/>
    <w:rsid w:val="001F31AD"/>
    <w:rsid w:val="00242EF7"/>
    <w:rsid w:val="002D1AF0"/>
    <w:rsid w:val="002F203B"/>
    <w:rsid w:val="003037B8"/>
    <w:rsid w:val="00312617"/>
    <w:rsid w:val="003453BD"/>
    <w:rsid w:val="0035680F"/>
    <w:rsid w:val="0039136E"/>
    <w:rsid w:val="00393657"/>
    <w:rsid w:val="003C089C"/>
    <w:rsid w:val="003E14F0"/>
    <w:rsid w:val="003F7751"/>
    <w:rsid w:val="00412BD8"/>
    <w:rsid w:val="0044547B"/>
    <w:rsid w:val="004557DE"/>
    <w:rsid w:val="004725F0"/>
    <w:rsid w:val="00480450"/>
    <w:rsid w:val="00490582"/>
    <w:rsid w:val="0053338A"/>
    <w:rsid w:val="0056575C"/>
    <w:rsid w:val="005A3A2B"/>
    <w:rsid w:val="005B788F"/>
    <w:rsid w:val="006251A4"/>
    <w:rsid w:val="0064012A"/>
    <w:rsid w:val="00650C19"/>
    <w:rsid w:val="00670AAD"/>
    <w:rsid w:val="00673C06"/>
    <w:rsid w:val="00677C23"/>
    <w:rsid w:val="006D4128"/>
    <w:rsid w:val="00700586"/>
    <w:rsid w:val="00721613"/>
    <w:rsid w:val="00744DE7"/>
    <w:rsid w:val="007724D1"/>
    <w:rsid w:val="007A133A"/>
    <w:rsid w:val="007C2CC9"/>
    <w:rsid w:val="007C54E7"/>
    <w:rsid w:val="007F2CF2"/>
    <w:rsid w:val="008203D2"/>
    <w:rsid w:val="00844BEE"/>
    <w:rsid w:val="00862500"/>
    <w:rsid w:val="00864EAA"/>
    <w:rsid w:val="00870060"/>
    <w:rsid w:val="00880EBB"/>
    <w:rsid w:val="00880F54"/>
    <w:rsid w:val="008A08C8"/>
    <w:rsid w:val="008D6EA7"/>
    <w:rsid w:val="008E5117"/>
    <w:rsid w:val="008F5392"/>
    <w:rsid w:val="00907C06"/>
    <w:rsid w:val="009103B3"/>
    <w:rsid w:val="00911624"/>
    <w:rsid w:val="00927B81"/>
    <w:rsid w:val="009535BD"/>
    <w:rsid w:val="00962C3C"/>
    <w:rsid w:val="0097616E"/>
    <w:rsid w:val="009860C0"/>
    <w:rsid w:val="00A104A9"/>
    <w:rsid w:val="00A51E80"/>
    <w:rsid w:val="00A5573B"/>
    <w:rsid w:val="00AA04C8"/>
    <w:rsid w:val="00AC3E29"/>
    <w:rsid w:val="00B10A68"/>
    <w:rsid w:val="00B248C9"/>
    <w:rsid w:val="00B3710E"/>
    <w:rsid w:val="00B53D22"/>
    <w:rsid w:val="00B823A3"/>
    <w:rsid w:val="00BA385D"/>
    <w:rsid w:val="00BC1954"/>
    <w:rsid w:val="00C337B7"/>
    <w:rsid w:val="00C37DD7"/>
    <w:rsid w:val="00C758A1"/>
    <w:rsid w:val="00C77D9D"/>
    <w:rsid w:val="00C870D2"/>
    <w:rsid w:val="00CB4E6E"/>
    <w:rsid w:val="00CD37BE"/>
    <w:rsid w:val="00D80676"/>
    <w:rsid w:val="00D956BD"/>
    <w:rsid w:val="00DD1157"/>
    <w:rsid w:val="00E055AA"/>
    <w:rsid w:val="00E34347"/>
    <w:rsid w:val="00E824A3"/>
    <w:rsid w:val="00E92657"/>
    <w:rsid w:val="00E92B11"/>
    <w:rsid w:val="00EA04FE"/>
    <w:rsid w:val="00ED6375"/>
    <w:rsid w:val="00F44F02"/>
    <w:rsid w:val="00F53E8A"/>
    <w:rsid w:val="00F62524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Char0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5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51332"/>
  </w:style>
  <w:style w:type="character" w:customStyle="1" w:styleId="Char1">
    <w:name w:val="메모 텍스트 Char"/>
    <w:link w:val="a7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1332"/>
    <w:rPr>
      <w:b/>
      <w:bCs/>
    </w:rPr>
  </w:style>
  <w:style w:type="character" w:customStyle="1" w:styleId="Char2">
    <w:name w:val="메모 주제 Char"/>
    <w:link w:val="a8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9">
    <w:name w:val="Balloon Text"/>
    <w:basedOn w:val="a"/>
    <w:link w:val="Char3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link w:val="a9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a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8189-8BB7-4FBE-8373-4B72EB12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356</Words>
  <Characters>2176</Characters>
  <Application>Microsoft Office Word</Application>
  <DocSecurity>0</DocSecurity>
  <Lines>41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LLNL</Company>
  <LinksUpToDate>false</LinksUpToDate>
  <CharactersWithSpaces>2519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정동우</cp:lastModifiedBy>
  <cp:revision>15</cp:revision>
  <cp:lastPrinted>2012-01-20T14:14:00Z</cp:lastPrinted>
  <dcterms:created xsi:type="dcterms:W3CDTF">2025-11-03T05:17:00Z</dcterms:created>
  <dcterms:modified xsi:type="dcterms:W3CDTF">2026-01-31T14:08:00Z</dcterms:modified>
</cp:coreProperties>
</file>