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4B3C1" w14:textId="5D41F638" w:rsidR="00085FC9" w:rsidRPr="00663F85" w:rsidRDefault="00D9355C" w:rsidP="00085FC9">
      <w:pPr>
        <w:jc w:val="center"/>
        <w:rPr>
          <w:b/>
          <w:sz w:val="24"/>
        </w:rPr>
      </w:pPr>
      <w:r>
        <w:rPr>
          <w:b/>
          <w:sz w:val="24"/>
        </w:rPr>
        <w:t>Multilayered meta scintillator with thermally deposited organic active and metal halide dielectric layers</w:t>
      </w:r>
    </w:p>
    <w:p w14:paraId="4460B221" w14:textId="77777777" w:rsidR="00085FC9" w:rsidRPr="00663F85" w:rsidRDefault="00085FC9" w:rsidP="00085FC9">
      <w:pPr>
        <w:rPr>
          <w:b/>
          <w:sz w:val="24"/>
        </w:rPr>
      </w:pPr>
    </w:p>
    <w:p w14:paraId="44A80E1B" w14:textId="77777777" w:rsidR="00D9355C" w:rsidRPr="00D9355C" w:rsidRDefault="00D9355C" w:rsidP="00D9355C">
      <w:pPr>
        <w:rPr>
          <w:i/>
          <w:iCs/>
          <w:sz w:val="24"/>
        </w:rPr>
      </w:pPr>
      <w:r w:rsidRPr="00D9355C">
        <w:rPr>
          <w:i/>
          <w:iCs/>
          <w:sz w:val="24"/>
        </w:rPr>
        <w:t>Abigail A. Seddon</w:t>
      </w:r>
      <w:r w:rsidRPr="00D9355C">
        <w:rPr>
          <w:i/>
          <w:iCs/>
          <w:sz w:val="24"/>
          <w:vertAlign w:val="superscript"/>
        </w:rPr>
        <w:t>1,2</w:t>
      </w:r>
      <w:r w:rsidRPr="00D9355C">
        <w:rPr>
          <w:i/>
          <w:iCs/>
          <w:sz w:val="24"/>
        </w:rPr>
        <w:t>, Jean-Frederic Audibert</w:t>
      </w:r>
      <w:r w:rsidRPr="00D9355C">
        <w:rPr>
          <w:i/>
          <w:iCs/>
          <w:sz w:val="24"/>
          <w:vertAlign w:val="superscript"/>
        </w:rPr>
        <w:t>3</w:t>
      </w:r>
      <w:r w:rsidRPr="00D9355C">
        <w:rPr>
          <w:i/>
          <w:iCs/>
          <w:sz w:val="24"/>
        </w:rPr>
        <w:t>, Isabelle Leray</w:t>
      </w:r>
      <w:r w:rsidRPr="00D9355C">
        <w:rPr>
          <w:i/>
          <w:iCs/>
          <w:sz w:val="24"/>
          <w:vertAlign w:val="superscript"/>
        </w:rPr>
        <w:t>3</w:t>
      </w:r>
      <w:r w:rsidRPr="00D9355C">
        <w:rPr>
          <w:i/>
          <w:iCs/>
          <w:sz w:val="24"/>
        </w:rPr>
        <w:t>, Jocelyne Leroy</w:t>
      </w:r>
      <w:r w:rsidRPr="00D9355C">
        <w:rPr>
          <w:i/>
          <w:iCs/>
          <w:sz w:val="24"/>
          <w:vertAlign w:val="superscript"/>
        </w:rPr>
        <w:t>2</w:t>
      </w:r>
      <w:r w:rsidRPr="00D9355C">
        <w:rPr>
          <w:i/>
          <w:iCs/>
          <w:sz w:val="24"/>
        </w:rPr>
        <w:t>, Ludovic Tortech*</w:t>
      </w:r>
      <w:r w:rsidRPr="00D9355C">
        <w:rPr>
          <w:i/>
          <w:iCs/>
          <w:sz w:val="24"/>
          <w:vertAlign w:val="superscript"/>
        </w:rPr>
        <w:t>2</w:t>
      </w:r>
      <w:r w:rsidRPr="00D9355C">
        <w:rPr>
          <w:i/>
          <w:iCs/>
          <w:sz w:val="24"/>
        </w:rPr>
        <w:t xml:space="preserve">, </w:t>
      </w:r>
      <w:r w:rsidRPr="00D9355C">
        <w:rPr>
          <w:i/>
          <w:iCs/>
          <w:sz w:val="24"/>
          <w:lang w:val="it-IT"/>
        </w:rPr>
        <w:t>Andrea Erroi</w:t>
      </w:r>
      <w:r w:rsidRPr="00D9355C">
        <w:rPr>
          <w:i/>
          <w:iCs/>
          <w:sz w:val="24"/>
          <w:vertAlign w:val="superscript"/>
          <w:lang w:val="it-IT"/>
        </w:rPr>
        <w:t>4</w:t>
      </w:r>
      <w:r w:rsidRPr="00D9355C">
        <w:rPr>
          <w:i/>
          <w:iCs/>
          <w:sz w:val="24"/>
          <w:lang w:val="it-IT"/>
        </w:rPr>
        <w:t>, Irene Villa</w:t>
      </w:r>
      <w:r w:rsidRPr="00D9355C">
        <w:rPr>
          <w:i/>
          <w:iCs/>
          <w:sz w:val="24"/>
          <w:vertAlign w:val="superscript"/>
          <w:lang w:val="it-IT"/>
        </w:rPr>
        <w:t>4</w:t>
      </w:r>
      <w:r w:rsidRPr="00D9355C">
        <w:rPr>
          <w:i/>
          <w:iCs/>
          <w:sz w:val="24"/>
          <w:lang w:val="it-IT"/>
        </w:rPr>
        <w:t>, Angelo Monguzzi</w:t>
      </w:r>
      <w:r w:rsidRPr="00D9355C">
        <w:rPr>
          <w:i/>
          <w:iCs/>
          <w:sz w:val="24"/>
          <w:vertAlign w:val="superscript"/>
          <w:lang w:val="it-IT"/>
        </w:rPr>
        <w:t>4</w:t>
      </w:r>
      <w:r w:rsidRPr="00D9355C">
        <w:rPr>
          <w:i/>
          <w:iCs/>
          <w:sz w:val="24"/>
          <w:lang w:val="it-IT"/>
        </w:rPr>
        <w:t xml:space="preserve">, </w:t>
      </w:r>
      <w:r w:rsidRPr="0039497A">
        <w:rPr>
          <w:b/>
          <w:bCs/>
          <w:i/>
          <w:iCs/>
          <w:sz w:val="24"/>
        </w:rPr>
        <w:t>Guillaume H. V. Bertrand*</w:t>
      </w:r>
      <w:r w:rsidRPr="00D9355C">
        <w:rPr>
          <w:i/>
          <w:iCs/>
          <w:sz w:val="24"/>
          <w:vertAlign w:val="superscript"/>
        </w:rPr>
        <w:t>1</w:t>
      </w:r>
    </w:p>
    <w:p w14:paraId="74B98797" w14:textId="77777777" w:rsidR="00085FC9" w:rsidRDefault="00085FC9" w:rsidP="00962C3C">
      <w:pPr>
        <w:rPr>
          <w:sz w:val="24"/>
        </w:rPr>
      </w:pPr>
    </w:p>
    <w:p w14:paraId="4F548F53" w14:textId="77777777" w:rsidR="00D9355C" w:rsidRPr="00D9355C" w:rsidRDefault="00D9355C" w:rsidP="00D9355C">
      <w:pPr>
        <w:jc w:val="center"/>
        <w:rPr>
          <w:i/>
          <w:sz w:val="24"/>
          <w:vertAlign w:val="superscript"/>
          <w:lang w:val="fr-FR"/>
        </w:rPr>
      </w:pPr>
      <w:r w:rsidRPr="00D9355C">
        <w:rPr>
          <w:i/>
          <w:sz w:val="24"/>
          <w:vertAlign w:val="superscript"/>
          <w:lang w:val="fr-FR"/>
        </w:rPr>
        <w:t>1) Université Paris-Saclay, CEA, List, F-91120 Palaiseau, France</w:t>
      </w:r>
    </w:p>
    <w:p w14:paraId="7A0B3A97" w14:textId="34AB19E7" w:rsidR="00D9355C" w:rsidRPr="00D9355C" w:rsidRDefault="00D9355C" w:rsidP="00D9355C">
      <w:pPr>
        <w:jc w:val="center"/>
        <w:rPr>
          <w:i/>
          <w:sz w:val="24"/>
          <w:vertAlign w:val="superscript"/>
          <w:lang w:val="fr-FR"/>
        </w:rPr>
      </w:pPr>
      <w:r w:rsidRPr="00D9355C">
        <w:rPr>
          <w:i/>
          <w:sz w:val="24"/>
          <w:vertAlign w:val="superscript"/>
          <w:lang w:val="fr-FR"/>
        </w:rPr>
        <w:t>2)</w:t>
      </w:r>
      <w:r w:rsidR="0039497A" w:rsidRPr="0039497A">
        <w:rPr>
          <w:lang w:val="fr-FR"/>
        </w:rPr>
        <w:t xml:space="preserve"> </w:t>
      </w:r>
      <w:r w:rsidR="0039497A" w:rsidRPr="0039497A">
        <w:rPr>
          <w:i/>
          <w:sz w:val="24"/>
          <w:vertAlign w:val="superscript"/>
          <w:lang w:val="fr-FR"/>
        </w:rPr>
        <w:t>Sorbonne Université, Institut Parisien de Chimie Moléculaire, CNRS, F-75005 Paris, France</w:t>
      </w:r>
    </w:p>
    <w:p w14:paraId="1BD3B216" w14:textId="0F65660F" w:rsidR="00D9355C" w:rsidRPr="00D9355C" w:rsidRDefault="00D9355C" w:rsidP="00D9355C">
      <w:pPr>
        <w:jc w:val="center"/>
        <w:rPr>
          <w:i/>
          <w:sz w:val="24"/>
          <w:vertAlign w:val="superscript"/>
          <w:lang w:val="fr-FR"/>
        </w:rPr>
      </w:pPr>
      <w:r w:rsidRPr="00D9355C">
        <w:rPr>
          <w:i/>
          <w:sz w:val="24"/>
          <w:vertAlign w:val="superscript"/>
          <w:lang w:val="fr-FR"/>
        </w:rPr>
        <w:t>3)</w:t>
      </w:r>
      <w:r w:rsidRPr="00D9355C">
        <w:rPr>
          <w:b/>
          <w:i/>
          <w:sz w:val="24"/>
          <w:vertAlign w:val="superscript"/>
          <w:lang w:val="fr-FR"/>
        </w:rPr>
        <w:t xml:space="preserve"> </w:t>
      </w:r>
      <w:r w:rsidRPr="00D9355C">
        <w:rPr>
          <w:i/>
          <w:sz w:val="24"/>
          <w:vertAlign w:val="superscript"/>
          <w:lang w:val="fr-FR"/>
        </w:rPr>
        <w:t xml:space="preserve">Université Paris-Saclay, ENS Paris-Saclay, CNRS, </w:t>
      </w:r>
      <w:r>
        <w:rPr>
          <w:i/>
          <w:sz w:val="24"/>
          <w:vertAlign w:val="superscript"/>
          <w:lang w:val="fr-FR"/>
        </w:rPr>
        <w:t>PPSM</w:t>
      </w:r>
      <w:r w:rsidRPr="00D9355C">
        <w:rPr>
          <w:i/>
          <w:sz w:val="24"/>
          <w:vertAlign w:val="superscript"/>
          <w:lang w:val="fr-FR"/>
        </w:rPr>
        <w:t>, 91190, Gif-sur-Yvette, France</w:t>
      </w:r>
    </w:p>
    <w:p w14:paraId="2363B9F4" w14:textId="77777777" w:rsidR="00D9355C" w:rsidRPr="00D9355C" w:rsidRDefault="00D9355C" w:rsidP="00D9355C">
      <w:pPr>
        <w:jc w:val="center"/>
        <w:rPr>
          <w:i/>
          <w:sz w:val="24"/>
          <w:vertAlign w:val="superscript"/>
        </w:rPr>
      </w:pPr>
      <w:r w:rsidRPr="00D9355C">
        <w:rPr>
          <w:i/>
          <w:sz w:val="24"/>
          <w:vertAlign w:val="superscript"/>
        </w:rPr>
        <w:t xml:space="preserve">4) </w:t>
      </w:r>
      <w:proofErr w:type="spellStart"/>
      <w:r w:rsidRPr="00D9355C">
        <w:rPr>
          <w:i/>
          <w:sz w:val="24"/>
          <w:vertAlign w:val="superscript"/>
        </w:rPr>
        <w:t>Dipartimento</w:t>
      </w:r>
      <w:proofErr w:type="spellEnd"/>
      <w:r w:rsidRPr="00D9355C">
        <w:rPr>
          <w:i/>
          <w:sz w:val="24"/>
          <w:vertAlign w:val="superscript"/>
        </w:rPr>
        <w:t xml:space="preserve"> di </w:t>
      </w:r>
      <w:proofErr w:type="spellStart"/>
      <w:r w:rsidRPr="00D9355C">
        <w:rPr>
          <w:i/>
          <w:sz w:val="24"/>
          <w:vertAlign w:val="superscript"/>
        </w:rPr>
        <w:t>Scienza</w:t>
      </w:r>
      <w:proofErr w:type="spellEnd"/>
      <w:r w:rsidRPr="00D9355C">
        <w:rPr>
          <w:i/>
          <w:sz w:val="24"/>
          <w:vertAlign w:val="superscript"/>
        </w:rPr>
        <w:t xml:space="preserve"> </w:t>
      </w:r>
      <w:proofErr w:type="spellStart"/>
      <w:r w:rsidRPr="00D9355C">
        <w:rPr>
          <w:i/>
          <w:sz w:val="24"/>
          <w:vertAlign w:val="superscript"/>
        </w:rPr>
        <w:t>dei</w:t>
      </w:r>
      <w:proofErr w:type="spellEnd"/>
      <w:r w:rsidRPr="00D9355C">
        <w:rPr>
          <w:i/>
          <w:sz w:val="24"/>
          <w:vertAlign w:val="superscript"/>
        </w:rPr>
        <w:t xml:space="preserve"> </w:t>
      </w:r>
      <w:proofErr w:type="spellStart"/>
      <w:r w:rsidRPr="00D9355C">
        <w:rPr>
          <w:i/>
          <w:sz w:val="24"/>
          <w:vertAlign w:val="superscript"/>
        </w:rPr>
        <w:t>Materiali</w:t>
      </w:r>
      <w:proofErr w:type="spellEnd"/>
      <w:r w:rsidRPr="00D9355C">
        <w:rPr>
          <w:i/>
          <w:sz w:val="24"/>
          <w:vertAlign w:val="superscript"/>
        </w:rPr>
        <w:t xml:space="preserve">, University of Milano-Bicocca, Via </w:t>
      </w:r>
      <w:proofErr w:type="spellStart"/>
      <w:r w:rsidRPr="00D9355C">
        <w:rPr>
          <w:i/>
          <w:sz w:val="24"/>
          <w:vertAlign w:val="superscript"/>
        </w:rPr>
        <w:t>Cozzi</w:t>
      </w:r>
      <w:proofErr w:type="spellEnd"/>
      <w:r w:rsidRPr="00D9355C">
        <w:rPr>
          <w:i/>
          <w:sz w:val="24"/>
          <w:vertAlign w:val="superscript"/>
        </w:rPr>
        <w:t xml:space="preserve"> 55, I-20125 Milano, Italy</w:t>
      </w:r>
    </w:p>
    <w:p w14:paraId="44535264" w14:textId="53535CD6" w:rsidR="0044547B" w:rsidRDefault="0044547B" w:rsidP="00C37DD7">
      <w:pPr>
        <w:jc w:val="center"/>
        <w:rPr>
          <w:iCs/>
          <w:sz w:val="24"/>
        </w:rPr>
      </w:pPr>
      <w:r>
        <w:rPr>
          <w:iCs/>
          <w:sz w:val="24"/>
        </w:rPr>
        <w:t xml:space="preserve">Corresponding Author Email: </w:t>
      </w:r>
      <w:hyperlink r:id="rId7" w:history="1">
        <w:r w:rsidR="00D9355C" w:rsidRPr="003E5B31">
          <w:rPr>
            <w:rStyle w:val="Lienhypertexte"/>
            <w:iCs/>
            <w:sz w:val="24"/>
          </w:rPr>
          <w:t>Guillaume.bertrand@cea.fr</w:t>
        </w:r>
      </w:hyperlink>
      <w:r w:rsidR="00D9355C">
        <w:rPr>
          <w:iCs/>
          <w:sz w:val="24"/>
        </w:rPr>
        <w:t xml:space="preserve"> </w:t>
      </w:r>
      <w:hyperlink r:id="rId8" w:history="1">
        <w:r w:rsidR="00D9355C" w:rsidRPr="003E5B31">
          <w:rPr>
            <w:rStyle w:val="Lienhypertexte"/>
            <w:iCs/>
            <w:sz w:val="24"/>
          </w:rPr>
          <w:t>Ludovic.tortech@cea;fr</w:t>
        </w:r>
      </w:hyperlink>
    </w:p>
    <w:p w14:paraId="4B8C94C7" w14:textId="77777777" w:rsidR="00C37DD7" w:rsidRPr="00C37DD7" w:rsidRDefault="00C37DD7" w:rsidP="00A40C2F">
      <w:pPr>
        <w:jc w:val="both"/>
        <w:rPr>
          <w:iCs/>
          <w:sz w:val="24"/>
        </w:rPr>
      </w:pPr>
    </w:p>
    <w:p w14:paraId="267685CF" w14:textId="230D70F6" w:rsidR="00A40C2F" w:rsidRPr="00A40C2F" w:rsidRDefault="00A40C2F" w:rsidP="00A40C2F">
      <w:pPr>
        <w:jc w:val="both"/>
        <w:rPr>
          <w:sz w:val="24"/>
        </w:rPr>
      </w:pPr>
      <w:r w:rsidRPr="00A40C2F">
        <w:rPr>
          <w:sz w:val="24"/>
        </w:rPr>
        <w:t>Classic bulk scintillation organic and inorganic have two intrinsic limitations: The scintillation light emission is isotropic, hindering efficient light collection. Scintillation decay time are directed by the slowest emitters in the scintillators, hence ultra-fast decay cannot be achieved without quenching and a drastic loss of light production. Following the recent innovations in inorganic nanostructured scintillator</w:t>
      </w:r>
      <w:r w:rsidR="0018307E">
        <w:rPr>
          <w:sz w:val="24"/>
        </w:rPr>
        <w:t xml:space="preserve"> </w:t>
      </w:r>
      <w:r w:rsidR="0018307E" w:rsidRPr="0018307E">
        <w:rPr>
          <w:sz w:val="24"/>
          <w:vertAlign w:val="superscript"/>
        </w:rPr>
        <w:t>1,2</w:t>
      </w:r>
      <w:r w:rsidRPr="00A40C2F">
        <w:rPr>
          <w:sz w:val="24"/>
        </w:rPr>
        <w:t>, these two intrinsic properties can be challenge</w:t>
      </w:r>
      <w:r w:rsidR="004834D2">
        <w:rPr>
          <w:sz w:val="24"/>
        </w:rPr>
        <w:t>d</w:t>
      </w:r>
      <w:r w:rsidRPr="00A40C2F">
        <w:rPr>
          <w:sz w:val="24"/>
        </w:rPr>
        <w:t xml:space="preserve"> using approach from metamaterial science and nano structuration. It was theorized and demonstrate</w:t>
      </w:r>
      <w:r w:rsidR="004834D2">
        <w:rPr>
          <w:sz w:val="24"/>
        </w:rPr>
        <w:t>d</w:t>
      </w:r>
      <w:r>
        <w:rPr>
          <w:sz w:val="24"/>
        </w:rPr>
        <w:t xml:space="preserve"> </w:t>
      </w:r>
      <w:r w:rsidRPr="00A40C2F">
        <w:rPr>
          <w:sz w:val="24"/>
        </w:rPr>
        <w:t xml:space="preserve">that alternately stacking nanometric layers of </w:t>
      </w:r>
      <w:r>
        <w:rPr>
          <w:sz w:val="24"/>
        </w:rPr>
        <w:t xml:space="preserve">inorganic </w:t>
      </w:r>
      <w:r w:rsidRPr="00A40C2F">
        <w:rPr>
          <w:sz w:val="24"/>
        </w:rPr>
        <w:t>scintillators and dielectrics could create resonant emission between layers also known as Purcell effect</w:t>
      </w:r>
      <w:r w:rsidR="0018307E" w:rsidRPr="0018307E">
        <w:rPr>
          <w:sz w:val="24"/>
          <w:vertAlign w:val="superscript"/>
        </w:rPr>
        <w:t>3</w:t>
      </w:r>
      <w:r w:rsidRPr="00A40C2F">
        <w:rPr>
          <w:sz w:val="24"/>
        </w:rPr>
        <w:t>. This effect promote emission in one particular direction as well as decreasing it’s time constant without loss of photon.</w:t>
      </w:r>
    </w:p>
    <w:p w14:paraId="66081E79" w14:textId="579608C5" w:rsidR="00A40C2F" w:rsidRPr="00A40C2F" w:rsidRDefault="00A40C2F" w:rsidP="00A40C2F">
      <w:pPr>
        <w:jc w:val="both"/>
        <w:rPr>
          <w:sz w:val="24"/>
        </w:rPr>
      </w:pPr>
      <w:r w:rsidRPr="00A40C2F">
        <w:rPr>
          <w:sz w:val="24"/>
        </w:rPr>
        <w:t>Herein, multi-layered scintillation device</w:t>
      </w:r>
      <w:r>
        <w:rPr>
          <w:sz w:val="24"/>
        </w:rPr>
        <w:t>s are presented</w:t>
      </w:r>
      <w:r w:rsidR="0018307E" w:rsidRPr="0018307E">
        <w:rPr>
          <w:sz w:val="24"/>
          <w:vertAlign w:val="superscript"/>
        </w:rPr>
        <w:t>4</w:t>
      </w:r>
      <w:r w:rsidRPr="00A40C2F">
        <w:rPr>
          <w:sz w:val="24"/>
        </w:rPr>
        <w:t xml:space="preserve">, exhibiting high light collection and ultra-fast decay </w:t>
      </w:r>
      <w:r>
        <w:rPr>
          <w:sz w:val="24"/>
        </w:rPr>
        <w:t>with no</w:t>
      </w:r>
      <w:r w:rsidRPr="00A40C2F">
        <w:rPr>
          <w:sz w:val="24"/>
        </w:rPr>
        <w:t xml:space="preserve"> afterglow</w:t>
      </w:r>
      <w:r>
        <w:rPr>
          <w:sz w:val="24"/>
        </w:rPr>
        <w:t xml:space="preserve"> and </w:t>
      </w:r>
      <w:r w:rsidRPr="00A40C2F">
        <w:rPr>
          <w:sz w:val="24"/>
        </w:rPr>
        <w:t>with hint of Purcell effect. This novel meta scintillator device</w:t>
      </w:r>
      <w:r>
        <w:rPr>
          <w:sz w:val="24"/>
        </w:rPr>
        <w:t>s are manufacture</w:t>
      </w:r>
      <w:r w:rsidR="004834D2">
        <w:rPr>
          <w:sz w:val="24"/>
        </w:rPr>
        <w:t>d</w:t>
      </w:r>
      <w:r>
        <w:rPr>
          <w:sz w:val="24"/>
        </w:rPr>
        <w:t xml:space="preserve"> via co-deposition in a dual thermal evaporator. They </w:t>
      </w:r>
      <w:r w:rsidRPr="00A40C2F">
        <w:rPr>
          <w:sz w:val="24"/>
        </w:rPr>
        <w:t xml:space="preserve">consist of </w:t>
      </w:r>
      <w:r>
        <w:rPr>
          <w:sz w:val="24"/>
        </w:rPr>
        <w:t xml:space="preserve">a stacking of organic scintillation layers such as POPOP or DPA, and </w:t>
      </w:r>
      <w:r w:rsidRPr="00A40C2F">
        <w:rPr>
          <w:sz w:val="24"/>
        </w:rPr>
        <w:t>inorganic dielectric</w:t>
      </w:r>
      <w:r>
        <w:rPr>
          <w:sz w:val="24"/>
        </w:rPr>
        <w:t xml:space="preserve"> layer</w:t>
      </w:r>
      <w:r w:rsidRPr="00A40C2F">
        <w:rPr>
          <w:sz w:val="24"/>
        </w:rPr>
        <w:t xml:space="preserve"> such as </w:t>
      </w:r>
      <w:proofErr w:type="spellStart"/>
      <w:r w:rsidRPr="00A40C2F">
        <w:rPr>
          <w:sz w:val="24"/>
        </w:rPr>
        <w:t>CuBr</w:t>
      </w:r>
      <w:proofErr w:type="spellEnd"/>
      <w:r>
        <w:rPr>
          <w:sz w:val="24"/>
        </w:rPr>
        <w:t xml:space="preserve"> or </w:t>
      </w:r>
      <w:proofErr w:type="spellStart"/>
      <w:r>
        <w:rPr>
          <w:sz w:val="24"/>
        </w:rPr>
        <w:t>AgI</w:t>
      </w:r>
      <w:proofErr w:type="spellEnd"/>
      <w:r w:rsidRPr="00A40C2F">
        <w:rPr>
          <w:sz w:val="24"/>
        </w:rPr>
        <w:t>.</w:t>
      </w:r>
      <w:r>
        <w:rPr>
          <w:sz w:val="24"/>
        </w:rPr>
        <w:t xml:space="preserve"> All devices were characterized with AFM and SEM as well as photo-physics and radio-physics. Some devices show acceleration of decay time whilst other show improve light output and directionality</w:t>
      </w:r>
      <w:r w:rsidR="00892AB6">
        <w:rPr>
          <w:sz w:val="24"/>
        </w:rPr>
        <w:t xml:space="preserve"> of scintillation. Only </w:t>
      </w:r>
      <w:proofErr w:type="spellStart"/>
      <w:proofErr w:type="gramStart"/>
      <w:r w:rsidR="00892AB6">
        <w:rPr>
          <w:sz w:val="24"/>
        </w:rPr>
        <w:t>CuBr:POPOP</w:t>
      </w:r>
      <w:proofErr w:type="spellEnd"/>
      <w:proofErr w:type="gramEnd"/>
      <w:r w:rsidR="00892AB6">
        <w:rPr>
          <w:sz w:val="24"/>
        </w:rPr>
        <w:t xml:space="preserve"> devices exhibit both</w:t>
      </w:r>
      <w:r w:rsidR="0039497A">
        <w:rPr>
          <w:sz w:val="24"/>
        </w:rPr>
        <w:t xml:space="preserve"> directionality of emission and exceptionally fast decay, with</w:t>
      </w:r>
      <w:r w:rsidR="00892AB6">
        <w:rPr>
          <w:sz w:val="24"/>
        </w:rPr>
        <w:t xml:space="preserve"> photophysics decay time </w:t>
      </w:r>
      <w:r w:rsidR="007A66E2">
        <w:rPr>
          <w:sz w:val="24"/>
        </w:rPr>
        <w:t xml:space="preserve">of 16 ps and scintillation decay time &lt; 40 ps. </w:t>
      </w:r>
      <w:r>
        <w:rPr>
          <w:sz w:val="24"/>
        </w:rPr>
        <w:t xml:space="preserve"> </w:t>
      </w:r>
      <w:r w:rsidRPr="00A40C2F">
        <w:rPr>
          <w:sz w:val="24"/>
        </w:rPr>
        <w:t xml:space="preserve"> </w:t>
      </w:r>
    </w:p>
    <w:p w14:paraId="5E162DE4" w14:textId="0EB09AE0" w:rsidR="00346C9A" w:rsidRDefault="00A40C2F" w:rsidP="007A66E2">
      <w:pPr>
        <w:jc w:val="both"/>
        <w:rPr>
          <w:sz w:val="24"/>
        </w:rPr>
      </w:pPr>
      <w:r w:rsidRPr="00A40C2F">
        <w:rPr>
          <w:sz w:val="24"/>
        </w:rPr>
        <w:t>Moving forwards, devices</w:t>
      </w:r>
      <w:r w:rsidR="007A66E2">
        <w:rPr>
          <w:sz w:val="24"/>
        </w:rPr>
        <w:t xml:space="preserve"> scale up</w:t>
      </w:r>
      <w:r w:rsidRPr="00A40C2F">
        <w:rPr>
          <w:sz w:val="24"/>
        </w:rPr>
        <w:t xml:space="preserve"> may provide better</w:t>
      </w:r>
      <w:r w:rsidR="0039497A">
        <w:rPr>
          <w:sz w:val="24"/>
        </w:rPr>
        <w:t xml:space="preserve"> directionality</w:t>
      </w:r>
      <w:r w:rsidRPr="00A40C2F">
        <w:rPr>
          <w:sz w:val="24"/>
        </w:rPr>
        <w:t xml:space="preserve"> and </w:t>
      </w:r>
      <w:r w:rsidR="0039497A">
        <w:rPr>
          <w:sz w:val="24"/>
        </w:rPr>
        <w:t>even shorter</w:t>
      </w:r>
      <w:r w:rsidRPr="00A40C2F">
        <w:rPr>
          <w:sz w:val="24"/>
        </w:rPr>
        <w:t xml:space="preserve"> decay times, inhibiting afterglow with adequate spectral shaping via the Purcell effect. Real-world results include enabling faster and better resolution </w:t>
      </w:r>
      <w:r w:rsidR="007A66E2">
        <w:rPr>
          <w:sz w:val="24"/>
        </w:rPr>
        <w:t xml:space="preserve">X-ray scan as well as unlocking new material for fast timing application. </w:t>
      </w:r>
      <w:r w:rsidRPr="00A40C2F">
        <w:rPr>
          <w:sz w:val="24"/>
        </w:rPr>
        <w:t xml:space="preserve"> </w:t>
      </w:r>
    </w:p>
    <w:p w14:paraId="6569FDEA" w14:textId="77777777" w:rsidR="00346C9A" w:rsidRDefault="00346C9A" w:rsidP="00346C9A">
      <w:pPr>
        <w:keepNext/>
        <w:jc w:val="center"/>
      </w:pPr>
      <w:r>
        <w:rPr>
          <w:noProof/>
          <w:sz w:val="24"/>
          <w:lang w:val="fr-FR"/>
        </w:rPr>
        <w:drawing>
          <wp:inline distT="0" distB="0" distL="0" distR="0" wp14:anchorId="4027998B" wp14:editId="4B0F4B66">
            <wp:extent cx="1762125" cy="1475105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4"/>
          <w:lang w:val="fr-FR"/>
        </w:rPr>
        <w:drawing>
          <wp:inline distT="0" distB="0" distL="0" distR="0" wp14:anchorId="33BD93C6" wp14:editId="0ADAEEA6">
            <wp:extent cx="1885609" cy="146621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609" cy="1466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8E6990" w14:textId="4F22071F" w:rsidR="00A5573B" w:rsidRDefault="00346C9A" w:rsidP="00346C9A">
      <w:pPr>
        <w:pStyle w:val="Lgende"/>
        <w:jc w:val="center"/>
        <w:rPr>
          <w:sz w:val="24"/>
        </w:rPr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0933D9">
        <w:rPr>
          <w:noProof/>
        </w:rPr>
        <w:t>1</w:t>
      </w:r>
      <w:r>
        <w:fldChar w:fldCharType="end"/>
      </w:r>
      <w:r>
        <w:t xml:space="preserve">. Left: SEM image of a meta scintillators, </w:t>
      </w:r>
      <w:proofErr w:type="gramStart"/>
      <w:r>
        <w:t>Right</w:t>
      </w:r>
      <w:proofErr w:type="gramEnd"/>
      <w:r>
        <w:t xml:space="preserve"> ultrafast TSCPC of meta scintillator devices and control showing decay time down to 16 ps. </w:t>
      </w:r>
    </w:p>
    <w:p w14:paraId="06700B1D" w14:textId="10D3C419" w:rsidR="0018307E" w:rsidRDefault="0018307E" w:rsidP="0018307E">
      <w:pPr>
        <w:pStyle w:val="Paragraphedeliste"/>
        <w:numPr>
          <w:ilvl w:val="0"/>
          <w:numId w:val="2"/>
        </w:numPr>
      </w:pPr>
      <w:r w:rsidRPr="00BF0571">
        <w:t>Y</w:t>
      </w:r>
      <w:r>
        <w:t xml:space="preserve">. </w:t>
      </w:r>
      <w:proofErr w:type="spellStart"/>
      <w:r w:rsidRPr="00BF0571">
        <w:t>Kurman</w:t>
      </w:r>
      <w:proofErr w:type="spellEnd"/>
      <w:r w:rsidRPr="00BF0571">
        <w:t>, N</w:t>
      </w:r>
      <w:r>
        <w:t xml:space="preserve">. </w:t>
      </w:r>
      <w:r w:rsidRPr="00BF0571">
        <w:t>Lahav, R</w:t>
      </w:r>
      <w:r>
        <w:t xml:space="preserve">. </w:t>
      </w:r>
      <w:r w:rsidRPr="00BF0571">
        <w:t>Schuetz, A</w:t>
      </w:r>
      <w:r>
        <w:t xml:space="preserve">. </w:t>
      </w:r>
      <w:proofErr w:type="spellStart"/>
      <w:r w:rsidRPr="00BF0571">
        <w:t>Shultzman</w:t>
      </w:r>
      <w:proofErr w:type="spellEnd"/>
      <w:r w:rsidRPr="00BF0571">
        <w:t>, C</w:t>
      </w:r>
      <w:r>
        <w:t xml:space="preserve">. </w:t>
      </w:r>
      <w:r w:rsidRPr="00BF0571">
        <w:t>Roques-</w:t>
      </w:r>
      <w:proofErr w:type="spellStart"/>
      <w:r w:rsidRPr="00BF0571">
        <w:t>Carmes</w:t>
      </w:r>
      <w:proofErr w:type="spellEnd"/>
      <w:r w:rsidRPr="00BF0571">
        <w:t>, A</w:t>
      </w:r>
      <w:r>
        <w:t>.</w:t>
      </w:r>
      <w:r w:rsidRPr="00BF0571">
        <w:t xml:space="preserve"> </w:t>
      </w:r>
      <w:proofErr w:type="spellStart"/>
      <w:r w:rsidRPr="00BF0571">
        <w:t>Lifshits</w:t>
      </w:r>
      <w:proofErr w:type="spellEnd"/>
      <w:r w:rsidRPr="00BF0571">
        <w:t>, S</w:t>
      </w:r>
      <w:r>
        <w:t>.</w:t>
      </w:r>
      <w:r w:rsidRPr="00BF0571">
        <w:t xml:space="preserve"> </w:t>
      </w:r>
      <w:proofErr w:type="spellStart"/>
      <w:r w:rsidRPr="00BF0571">
        <w:t>Zaken</w:t>
      </w:r>
      <w:proofErr w:type="spellEnd"/>
      <w:r w:rsidRPr="00BF0571">
        <w:t>, T</w:t>
      </w:r>
      <w:r>
        <w:t>.</w:t>
      </w:r>
      <w:r w:rsidRPr="00BF0571">
        <w:t xml:space="preserve"> </w:t>
      </w:r>
      <w:proofErr w:type="spellStart"/>
      <w:r w:rsidRPr="00BF0571">
        <w:t>Lenkiewicz</w:t>
      </w:r>
      <w:proofErr w:type="spellEnd"/>
      <w:r w:rsidRPr="00BF0571">
        <w:t>, R</w:t>
      </w:r>
      <w:r>
        <w:t>.</w:t>
      </w:r>
      <w:r w:rsidRPr="00BF0571">
        <w:t xml:space="preserve"> </w:t>
      </w:r>
      <w:proofErr w:type="spellStart"/>
      <w:r w:rsidRPr="00BF0571">
        <w:t>Strassber</w:t>
      </w:r>
      <w:r>
        <w:t>g</w:t>
      </w:r>
      <w:proofErr w:type="spellEnd"/>
      <w:r w:rsidRPr="00BF0571">
        <w:t>, O</w:t>
      </w:r>
      <w:r>
        <w:t>.</w:t>
      </w:r>
      <w:r w:rsidRPr="00BF0571">
        <w:t xml:space="preserve"> </w:t>
      </w:r>
      <w:proofErr w:type="spellStart"/>
      <w:r w:rsidRPr="00BF0571">
        <w:t>Be’er</w:t>
      </w:r>
      <w:proofErr w:type="spellEnd"/>
      <w:r w:rsidRPr="00BF0571">
        <w:t>, Y</w:t>
      </w:r>
      <w:r>
        <w:t>.</w:t>
      </w:r>
      <w:r w:rsidRPr="00BF0571">
        <w:t xml:space="preserve"> </w:t>
      </w:r>
      <w:proofErr w:type="spellStart"/>
      <w:r w:rsidRPr="00BF0571">
        <w:t>Bekenstein</w:t>
      </w:r>
      <w:proofErr w:type="spellEnd"/>
      <w:r w:rsidRPr="00BF0571">
        <w:t>, and I</w:t>
      </w:r>
      <w:r>
        <w:t>.</w:t>
      </w:r>
      <w:r w:rsidRPr="00BF0571">
        <w:t xml:space="preserve"> </w:t>
      </w:r>
      <w:proofErr w:type="spellStart"/>
      <w:r w:rsidRPr="00BF0571">
        <w:t>Kaminer</w:t>
      </w:r>
      <w:proofErr w:type="spellEnd"/>
      <w:r>
        <w:t>,</w:t>
      </w:r>
      <w:r w:rsidRPr="00BF0571">
        <w:t xml:space="preserve"> </w:t>
      </w:r>
      <w:r w:rsidRPr="0018307E">
        <w:rPr>
          <w:i/>
          <w:iCs/>
        </w:rPr>
        <w:t xml:space="preserve">Sci. Adv. </w:t>
      </w:r>
      <w:r w:rsidRPr="00262F02">
        <w:t>2024,</w:t>
      </w:r>
      <w:r w:rsidRPr="0018307E">
        <w:rPr>
          <w:i/>
          <w:iCs/>
        </w:rPr>
        <w:t xml:space="preserve"> </w:t>
      </w:r>
      <w:r w:rsidRPr="0018307E">
        <w:rPr>
          <w:b/>
          <w:bCs/>
        </w:rPr>
        <w:t>10</w:t>
      </w:r>
      <w:r w:rsidRPr="00AD390E">
        <w:t>,</w:t>
      </w:r>
      <w:r>
        <w:t xml:space="preserve"> </w:t>
      </w:r>
      <w:r w:rsidRPr="00AD390E">
        <w:t>eadq6325</w:t>
      </w:r>
      <w:r>
        <w:t xml:space="preserve"> </w:t>
      </w:r>
    </w:p>
    <w:p w14:paraId="0E0A1A39" w14:textId="7F534C98" w:rsidR="0018307E" w:rsidRDefault="0018307E" w:rsidP="0018307E">
      <w:pPr>
        <w:pStyle w:val="Paragraphedeliste"/>
        <w:numPr>
          <w:ilvl w:val="0"/>
          <w:numId w:val="2"/>
        </w:numPr>
      </w:pPr>
      <w:r w:rsidRPr="00AD390E">
        <w:t xml:space="preserve">Y. </w:t>
      </w:r>
      <w:proofErr w:type="spellStart"/>
      <w:r w:rsidRPr="00AD390E">
        <w:t>Kurman</w:t>
      </w:r>
      <w:proofErr w:type="spellEnd"/>
      <w:r w:rsidRPr="00AD390E">
        <w:t xml:space="preserve">, A. </w:t>
      </w:r>
      <w:proofErr w:type="spellStart"/>
      <w:r w:rsidRPr="00AD390E">
        <w:t>Shultzman</w:t>
      </w:r>
      <w:proofErr w:type="spellEnd"/>
      <w:r w:rsidRPr="00AD390E">
        <w:t xml:space="preserve">, O. Segal, A. Pick, I. </w:t>
      </w:r>
      <w:proofErr w:type="spellStart"/>
      <w:r w:rsidRPr="00AD390E">
        <w:t>Kaminer</w:t>
      </w:r>
      <w:proofErr w:type="spellEnd"/>
      <w:r w:rsidRPr="00AD390E">
        <w:t xml:space="preserve">, </w:t>
      </w:r>
      <w:r w:rsidRPr="0018307E">
        <w:rPr>
          <w:i/>
          <w:iCs/>
        </w:rPr>
        <w:t>Phys. Rev. Lett.</w:t>
      </w:r>
      <w:r w:rsidRPr="00AD390E">
        <w:t> </w:t>
      </w:r>
      <w:r>
        <w:t xml:space="preserve">2020, </w:t>
      </w:r>
      <w:r w:rsidRPr="0018307E">
        <w:rPr>
          <w:b/>
          <w:bCs/>
        </w:rPr>
        <w:t>125</w:t>
      </w:r>
      <w:r w:rsidRPr="00AD390E">
        <w:t>, 040801.</w:t>
      </w:r>
    </w:p>
    <w:p w14:paraId="2B869E0F" w14:textId="1CAB5D32" w:rsidR="0018307E" w:rsidRDefault="0018307E" w:rsidP="0018307E">
      <w:pPr>
        <w:pStyle w:val="Paragraphedeliste"/>
        <w:numPr>
          <w:ilvl w:val="0"/>
          <w:numId w:val="2"/>
        </w:numPr>
        <w:rPr>
          <w:lang w:val="en-GB"/>
        </w:rPr>
      </w:pPr>
      <w:r w:rsidRPr="0018307E">
        <w:rPr>
          <w:lang w:val="en"/>
        </w:rPr>
        <w:t xml:space="preserve">E.M. </w:t>
      </w:r>
      <w:r w:rsidRPr="0018307E">
        <w:rPr>
          <w:lang w:val="en-GB"/>
        </w:rPr>
        <w:t xml:space="preserve">Purcell, </w:t>
      </w:r>
      <w:r w:rsidRPr="0018307E">
        <w:rPr>
          <w:i/>
          <w:iCs/>
          <w:lang w:val="en-GB"/>
        </w:rPr>
        <w:t>Phys. Rev.</w:t>
      </w:r>
      <w:r w:rsidRPr="0018307E">
        <w:rPr>
          <w:lang w:val="en-GB"/>
        </w:rPr>
        <w:t xml:space="preserve"> 1946, </w:t>
      </w:r>
      <w:r w:rsidRPr="0018307E">
        <w:rPr>
          <w:b/>
          <w:bCs/>
          <w:lang w:val="en-GB"/>
        </w:rPr>
        <w:t>69</w:t>
      </w:r>
      <w:r w:rsidRPr="0018307E">
        <w:rPr>
          <w:lang w:val="en-GB"/>
        </w:rPr>
        <w:t>, 681.</w:t>
      </w:r>
    </w:p>
    <w:p w14:paraId="5F4DCECF" w14:textId="75624D60" w:rsidR="0035680F" w:rsidRPr="00346C9A" w:rsidRDefault="0018307E" w:rsidP="00346C9A">
      <w:pPr>
        <w:pStyle w:val="Paragraphedeliste"/>
        <w:numPr>
          <w:ilvl w:val="0"/>
          <w:numId w:val="2"/>
        </w:numPr>
        <w:rPr>
          <w:szCs w:val="16"/>
          <w:lang w:val="en-GB"/>
        </w:rPr>
      </w:pPr>
      <w:r w:rsidRPr="0018307E">
        <w:rPr>
          <w:szCs w:val="16"/>
        </w:rPr>
        <w:t xml:space="preserve">A. A. Seddon, J-F. </w:t>
      </w:r>
      <w:r w:rsidRPr="00346C9A">
        <w:rPr>
          <w:szCs w:val="16"/>
          <w:lang w:val="en-GB"/>
        </w:rPr>
        <w:t xml:space="preserve">Audibert, I. Leray, J. Leroy, L. Tortech, </w:t>
      </w:r>
      <w:r w:rsidRPr="0018307E">
        <w:rPr>
          <w:szCs w:val="16"/>
          <w:lang w:val="it-IT"/>
        </w:rPr>
        <w:t xml:space="preserve">A. Erroi, I. Villa, A. Monguzzi, </w:t>
      </w:r>
      <w:r w:rsidRPr="00346C9A">
        <w:rPr>
          <w:szCs w:val="16"/>
          <w:lang w:val="en-GB"/>
        </w:rPr>
        <w:t xml:space="preserve">G.H. V. Bertrand, </w:t>
      </w:r>
      <w:r w:rsidRPr="00346C9A">
        <w:rPr>
          <w:i/>
          <w:iCs/>
          <w:szCs w:val="16"/>
          <w:lang w:val="en-GB"/>
        </w:rPr>
        <w:t>under review</w:t>
      </w:r>
    </w:p>
    <w:p w14:paraId="6417F465" w14:textId="77777777" w:rsidR="00346C9A" w:rsidRDefault="00346C9A" w:rsidP="00346C9A">
      <w:pPr>
        <w:rPr>
          <w:sz w:val="24"/>
          <w:lang w:val="en-GB"/>
        </w:rPr>
      </w:pPr>
    </w:p>
    <w:p w14:paraId="573F5868" w14:textId="748A9945" w:rsidR="00346C9A" w:rsidRPr="00346C9A" w:rsidRDefault="00346C9A" w:rsidP="00346C9A">
      <w:pPr>
        <w:rPr>
          <w:sz w:val="24"/>
          <w:lang w:val="en-GB"/>
        </w:rPr>
      </w:pPr>
      <w:r w:rsidRPr="00346C9A">
        <w:rPr>
          <w:sz w:val="24"/>
          <w:lang w:val="en-GB"/>
        </w:rPr>
        <w:t xml:space="preserve">We would like to </w:t>
      </w:r>
      <w:r>
        <w:rPr>
          <w:sz w:val="24"/>
          <w:lang w:val="en-GB"/>
        </w:rPr>
        <w:t>a</w:t>
      </w:r>
      <w:r w:rsidRPr="00346C9A">
        <w:rPr>
          <w:sz w:val="24"/>
          <w:lang w:val="en-GB"/>
        </w:rPr>
        <w:t xml:space="preserve">cknowledge </w:t>
      </w:r>
      <w:r>
        <w:rPr>
          <w:sz w:val="24"/>
          <w:lang w:val="en-GB"/>
        </w:rPr>
        <w:t>A.S. LALLEMAND and the PTC-ID program at CEA for funding</w:t>
      </w:r>
    </w:p>
    <w:sectPr w:rsidR="00346C9A" w:rsidRPr="00346C9A" w:rsidSect="00744DE7">
      <w:pgSz w:w="11906" w:h="16838" w:code="9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19690" w14:textId="77777777" w:rsidR="00CE568D" w:rsidRDefault="00CE568D" w:rsidP="003E14F0">
      <w:r>
        <w:separator/>
      </w:r>
    </w:p>
  </w:endnote>
  <w:endnote w:type="continuationSeparator" w:id="0">
    <w:p w14:paraId="62ADCF8A" w14:textId="77777777" w:rsidR="00CE568D" w:rsidRDefault="00CE568D" w:rsidP="003E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664BF" w14:textId="77777777" w:rsidR="00CE568D" w:rsidRDefault="00CE568D" w:rsidP="003E14F0">
      <w:r>
        <w:separator/>
      </w:r>
    </w:p>
  </w:footnote>
  <w:footnote w:type="continuationSeparator" w:id="0">
    <w:p w14:paraId="06D40924" w14:textId="77777777" w:rsidR="00CE568D" w:rsidRDefault="00CE568D" w:rsidP="003E1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E55A8"/>
    <w:multiLevelType w:val="hybridMultilevel"/>
    <w:tmpl w:val="A3800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71BA4"/>
    <w:multiLevelType w:val="hybridMultilevel"/>
    <w:tmpl w:val="6B307B80"/>
    <w:lvl w:ilvl="0" w:tplc="7BACDE52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FC9"/>
    <w:rsid w:val="000041F6"/>
    <w:rsid w:val="00023BF7"/>
    <w:rsid w:val="00085FC9"/>
    <w:rsid w:val="000933D9"/>
    <w:rsid w:val="000C2F06"/>
    <w:rsid w:val="00101F2B"/>
    <w:rsid w:val="00106416"/>
    <w:rsid w:val="001466B6"/>
    <w:rsid w:val="00151332"/>
    <w:rsid w:val="001562AE"/>
    <w:rsid w:val="0018307E"/>
    <w:rsid w:val="001A29C1"/>
    <w:rsid w:val="00242EF7"/>
    <w:rsid w:val="002D1AF0"/>
    <w:rsid w:val="002F203B"/>
    <w:rsid w:val="003037B8"/>
    <w:rsid w:val="00312617"/>
    <w:rsid w:val="003453BD"/>
    <w:rsid w:val="00346C9A"/>
    <w:rsid w:val="0035680F"/>
    <w:rsid w:val="0039136E"/>
    <w:rsid w:val="0039497A"/>
    <w:rsid w:val="003C089C"/>
    <w:rsid w:val="003E14F0"/>
    <w:rsid w:val="003E737F"/>
    <w:rsid w:val="003F7751"/>
    <w:rsid w:val="00412BD8"/>
    <w:rsid w:val="0044547B"/>
    <w:rsid w:val="004557DE"/>
    <w:rsid w:val="004725F0"/>
    <w:rsid w:val="00480450"/>
    <w:rsid w:val="004834D2"/>
    <w:rsid w:val="0053338A"/>
    <w:rsid w:val="0056575C"/>
    <w:rsid w:val="005B788F"/>
    <w:rsid w:val="005C745D"/>
    <w:rsid w:val="006251A4"/>
    <w:rsid w:val="00650C19"/>
    <w:rsid w:val="00677C23"/>
    <w:rsid w:val="00721613"/>
    <w:rsid w:val="00744DE7"/>
    <w:rsid w:val="007724D1"/>
    <w:rsid w:val="007A66E2"/>
    <w:rsid w:val="007C2CC9"/>
    <w:rsid w:val="007C54E7"/>
    <w:rsid w:val="008203D2"/>
    <w:rsid w:val="00844BEE"/>
    <w:rsid w:val="00862500"/>
    <w:rsid w:val="00864EAA"/>
    <w:rsid w:val="00880EBB"/>
    <w:rsid w:val="00892AB6"/>
    <w:rsid w:val="008A08C8"/>
    <w:rsid w:val="008D6EA7"/>
    <w:rsid w:val="008E5117"/>
    <w:rsid w:val="008F5392"/>
    <w:rsid w:val="009103B3"/>
    <w:rsid w:val="009535BD"/>
    <w:rsid w:val="00962C3C"/>
    <w:rsid w:val="0097616E"/>
    <w:rsid w:val="009860C0"/>
    <w:rsid w:val="009D7427"/>
    <w:rsid w:val="00A40C2F"/>
    <w:rsid w:val="00A51E80"/>
    <w:rsid w:val="00A5573B"/>
    <w:rsid w:val="00B10A68"/>
    <w:rsid w:val="00B248C9"/>
    <w:rsid w:val="00B53D22"/>
    <w:rsid w:val="00BA385D"/>
    <w:rsid w:val="00BC1954"/>
    <w:rsid w:val="00C37DD7"/>
    <w:rsid w:val="00C758A1"/>
    <w:rsid w:val="00C870D2"/>
    <w:rsid w:val="00CB4E6E"/>
    <w:rsid w:val="00CD37BE"/>
    <w:rsid w:val="00CE568D"/>
    <w:rsid w:val="00D80676"/>
    <w:rsid w:val="00D85922"/>
    <w:rsid w:val="00D9355C"/>
    <w:rsid w:val="00D956BD"/>
    <w:rsid w:val="00DD1157"/>
    <w:rsid w:val="00E055AA"/>
    <w:rsid w:val="00E824A3"/>
    <w:rsid w:val="00E92657"/>
    <w:rsid w:val="00E92B11"/>
    <w:rsid w:val="00F53E8A"/>
    <w:rsid w:val="00F62524"/>
    <w:rsid w:val="00F65872"/>
    <w:rsid w:val="00F97D6A"/>
    <w:rsid w:val="00FB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3802F"/>
  <w15:chartTrackingRefBased/>
  <w15:docId w15:val="{34763F80-1512-4471-970B-61B87ADD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FC9"/>
    <w:rPr>
      <w:rFonts w:ascii="Times New Roman" w:eastAsia="Times New Roman" w:hAnsi="Times New Roman"/>
      <w:lang w:val="en-US" w:eastAsia="ja-JP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085FC9"/>
    <w:pPr>
      <w:ind w:firstLine="360"/>
    </w:pPr>
  </w:style>
  <w:style w:type="character" w:styleId="Lienhypertexte">
    <w:name w:val="Hyperlink"/>
    <w:uiPriority w:val="99"/>
    <w:unhideWhenUsed/>
    <w:rsid w:val="0035680F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3E14F0"/>
    <w:pPr>
      <w:tabs>
        <w:tab w:val="center" w:pos="4680"/>
        <w:tab w:val="right" w:pos="9360"/>
      </w:tabs>
    </w:pPr>
  </w:style>
  <w:style w:type="character" w:customStyle="1" w:styleId="En-tteCar">
    <w:name w:val="En-tête Car"/>
    <w:link w:val="En-tte"/>
    <w:uiPriority w:val="99"/>
    <w:semiHidden/>
    <w:rsid w:val="003E14F0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Pieddepage">
    <w:name w:val="footer"/>
    <w:basedOn w:val="Normal"/>
    <w:link w:val="PieddepageCar"/>
    <w:uiPriority w:val="99"/>
    <w:semiHidden/>
    <w:unhideWhenUsed/>
    <w:rsid w:val="003E14F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link w:val="Pieddepage"/>
    <w:uiPriority w:val="99"/>
    <w:semiHidden/>
    <w:rsid w:val="003E14F0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1">
    <w:name w:val="확인되지 않은 멘션1"/>
    <w:uiPriority w:val="99"/>
    <w:semiHidden/>
    <w:unhideWhenUsed/>
    <w:rsid w:val="00C37DD7"/>
    <w:rPr>
      <w:color w:val="605E5C"/>
      <w:shd w:val="clear" w:color="auto" w:fill="E1DFDD"/>
    </w:rPr>
  </w:style>
  <w:style w:type="character" w:styleId="Marquedecommentaire">
    <w:name w:val="annotation reference"/>
    <w:uiPriority w:val="99"/>
    <w:semiHidden/>
    <w:unhideWhenUsed/>
    <w:rsid w:val="0015133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51332"/>
  </w:style>
  <w:style w:type="character" w:customStyle="1" w:styleId="CommentaireCar">
    <w:name w:val="Commentaire Car"/>
    <w:link w:val="Commentaire"/>
    <w:uiPriority w:val="99"/>
    <w:semiHidden/>
    <w:rsid w:val="00151332"/>
    <w:rPr>
      <w:rFonts w:ascii="Times New Roman" w:eastAsia="Times New Roman" w:hAnsi="Times New Roman"/>
      <w:lang w:eastAsia="ja-JP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5133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151332"/>
    <w:rPr>
      <w:rFonts w:ascii="Times New Roman" w:eastAsia="Times New Roman" w:hAnsi="Times New Roman"/>
      <w:b/>
      <w:bCs/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133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151332"/>
    <w:rPr>
      <w:rFonts w:ascii="Segoe UI" w:eastAsia="Times New Roman" w:hAnsi="Segoe UI" w:cs="Segoe UI"/>
      <w:sz w:val="18"/>
      <w:szCs w:val="18"/>
      <w:lang w:eastAsia="ja-JP"/>
    </w:rPr>
  </w:style>
  <w:style w:type="paragraph" w:styleId="Lgende">
    <w:name w:val="caption"/>
    <w:basedOn w:val="Normal"/>
    <w:next w:val="Normal"/>
    <w:uiPriority w:val="35"/>
    <w:unhideWhenUsed/>
    <w:qFormat/>
    <w:rsid w:val="0056575C"/>
    <w:pPr>
      <w:spacing w:after="200"/>
    </w:pPr>
    <w:rPr>
      <w:i/>
      <w:iCs/>
      <w:color w:val="44546A" w:themeColor="text2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8A08C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A08C8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183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dovic.tortech@cea;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uillaume.bertrand@cea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535</Words>
  <Characters>2948</Characters>
  <Application>Microsoft Office Word</Application>
  <DocSecurity>0</DocSecurity>
  <Lines>24</Lines>
  <Paragraphs>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LLNL</Company>
  <LinksUpToDate>false</LinksUpToDate>
  <CharactersWithSpaces>3477</CharactersWithSpaces>
  <SharedDoc>false</SharedDoc>
  <HLinks>
    <vt:vector size="18" baseType="variant">
      <vt:variant>
        <vt:i4>4849682</vt:i4>
      </vt:variant>
      <vt:variant>
        <vt:i4>6</vt:i4>
      </vt:variant>
      <vt:variant>
        <vt:i4>0</vt:i4>
      </vt:variant>
      <vt:variant>
        <vt:i4>5</vt:i4>
      </vt:variant>
      <vt:variant>
        <vt:lpwstr>http://www.lanl.gov/scint2022</vt:lpwstr>
      </vt:variant>
      <vt:variant>
        <vt:lpwstr/>
      </vt:variant>
      <vt:variant>
        <vt:i4>4849682</vt:i4>
      </vt:variant>
      <vt:variant>
        <vt:i4>3</vt:i4>
      </vt:variant>
      <vt:variant>
        <vt:i4>0</vt:i4>
      </vt:variant>
      <vt:variant>
        <vt:i4>5</vt:i4>
      </vt:variant>
      <vt:variant>
        <vt:lpwstr>http://www.lanl.gov/scint2022</vt:lpwstr>
      </vt:variant>
      <vt:variant>
        <vt:lpwstr/>
      </vt:variant>
      <vt:variant>
        <vt:i4>2228238</vt:i4>
      </vt:variant>
      <vt:variant>
        <vt:i4>0</vt:i4>
      </vt:variant>
      <vt:variant>
        <vt:i4>0</vt:i4>
      </vt:variant>
      <vt:variant>
        <vt:i4>5</vt:i4>
      </vt:variant>
      <vt:variant>
        <vt:lpwstr>mailto:Author@domain.net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meier5</dc:creator>
  <cp:keywords/>
  <cp:lastModifiedBy>BERTRAND Guillaume</cp:lastModifiedBy>
  <cp:revision>3</cp:revision>
  <cp:lastPrinted>2026-01-09T14:37:00Z</cp:lastPrinted>
  <dcterms:created xsi:type="dcterms:W3CDTF">2026-01-09T13:21:00Z</dcterms:created>
  <dcterms:modified xsi:type="dcterms:W3CDTF">2026-01-09T15:27:00Z</dcterms:modified>
</cp:coreProperties>
</file>