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1755" w14:textId="3C2D3CEC" w:rsidR="00663849" w:rsidRDefault="00663849" w:rsidP="00E23824">
      <w:pPr>
        <w:spacing w:after="0" w:line="240" w:lineRule="auto"/>
        <w:jc w:val="center"/>
        <w:rPr>
          <w:rFonts w:ascii="Times New Roman" w:hAnsi="Times New Roman" w:cs="Times New Roman"/>
          <w:b/>
          <w:bCs/>
        </w:rPr>
      </w:pPr>
      <w:r w:rsidRPr="00663849">
        <w:rPr>
          <w:rFonts w:ascii="Times New Roman" w:hAnsi="Times New Roman" w:cs="Times New Roman"/>
          <w:b/>
          <w:bCs/>
        </w:rPr>
        <w:t xml:space="preserve">In Situ Dose Measurements in Brachytherapy and </w:t>
      </w:r>
      <w:r w:rsidR="001464BB">
        <w:rPr>
          <w:rFonts w:ascii="Times New Roman" w:hAnsi="Times New Roman" w:cs="Times New Roman"/>
          <w:b/>
          <w:bCs/>
        </w:rPr>
        <w:t>External Beam Radiotherapy</w:t>
      </w:r>
      <w:r w:rsidRPr="00663849">
        <w:rPr>
          <w:rFonts w:ascii="Times New Roman" w:hAnsi="Times New Roman" w:cs="Times New Roman"/>
          <w:b/>
          <w:bCs/>
        </w:rPr>
        <w:t xml:space="preserve"> Using Scintillation Fiber-Optic Detectors </w:t>
      </w:r>
    </w:p>
    <w:p w14:paraId="5604B27C" w14:textId="77777777" w:rsidR="00E23824" w:rsidRPr="00663849" w:rsidRDefault="00E23824" w:rsidP="00E23824">
      <w:pPr>
        <w:spacing w:after="0" w:line="240" w:lineRule="auto"/>
        <w:jc w:val="center"/>
        <w:rPr>
          <w:rFonts w:ascii="Times New Roman" w:hAnsi="Times New Roman" w:cs="Times New Roman"/>
          <w:sz w:val="12"/>
          <w:szCs w:val="12"/>
        </w:rPr>
      </w:pPr>
    </w:p>
    <w:p w14:paraId="6D78D013" w14:textId="0E8E3A81" w:rsidR="00663849" w:rsidRDefault="00663849" w:rsidP="00E23824">
      <w:pPr>
        <w:spacing w:after="0" w:line="240" w:lineRule="auto"/>
        <w:jc w:val="center"/>
        <w:rPr>
          <w:rFonts w:ascii="Times New Roman" w:hAnsi="Times New Roman" w:cs="Times New Roman"/>
          <w:lang w:val="pl-PL"/>
        </w:rPr>
      </w:pPr>
      <w:r w:rsidRPr="00663849">
        <w:rPr>
          <w:rFonts w:ascii="Times New Roman" w:hAnsi="Times New Roman" w:cs="Times New Roman"/>
          <w:lang w:val="pl-PL"/>
        </w:rPr>
        <w:t>J. Winiecki¹</w:t>
      </w:r>
      <w:r w:rsidRPr="00663849">
        <w:rPr>
          <w:rFonts w:ascii="Times New Roman" w:hAnsi="Times New Roman" w:cs="Times New Roman"/>
          <w:vertAlign w:val="superscript"/>
          <w:lang w:val="pl-PL"/>
        </w:rPr>
        <w:t>,</w:t>
      </w:r>
      <w:r w:rsidRPr="00663849">
        <w:rPr>
          <w:rFonts w:ascii="Times New Roman" w:hAnsi="Times New Roman" w:cs="Times New Roman"/>
          <w:lang w:val="pl-PL"/>
        </w:rPr>
        <w:t>²</w:t>
      </w:r>
      <w:r>
        <w:rPr>
          <w:rFonts w:ascii="Times New Roman" w:hAnsi="Times New Roman" w:cs="Times New Roman"/>
          <w:lang w:val="pl-PL"/>
        </w:rPr>
        <w:t>*</w:t>
      </w:r>
      <w:r w:rsidRPr="00663849">
        <w:rPr>
          <w:rFonts w:ascii="Times New Roman" w:hAnsi="Times New Roman" w:cs="Times New Roman"/>
          <w:lang w:val="pl-PL"/>
        </w:rPr>
        <w:t xml:space="preserve">, B. Sobiech¹, S. Witkiewicz-Łukaszek³, </w:t>
      </w:r>
      <w:r>
        <w:rPr>
          <w:rFonts w:ascii="Times New Roman" w:hAnsi="Times New Roman" w:cs="Times New Roman"/>
          <w:lang w:val="pl-PL"/>
        </w:rPr>
        <w:t>P. Michalska</w:t>
      </w:r>
      <w:r w:rsidRPr="00663849">
        <w:rPr>
          <w:rFonts w:ascii="Times New Roman" w:hAnsi="Times New Roman" w:cs="Times New Roman"/>
          <w:vertAlign w:val="superscript"/>
          <w:lang w:val="pl-PL"/>
        </w:rPr>
        <w:t>1</w:t>
      </w:r>
      <w:r>
        <w:rPr>
          <w:rFonts w:ascii="Times New Roman" w:hAnsi="Times New Roman" w:cs="Times New Roman"/>
          <w:lang w:val="pl-PL"/>
        </w:rPr>
        <w:t>, A. Orzechowska</w:t>
      </w:r>
      <w:r w:rsidRPr="00663849">
        <w:rPr>
          <w:rFonts w:ascii="Times New Roman" w:hAnsi="Times New Roman" w:cs="Times New Roman"/>
          <w:vertAlign w:val="superscript"/>
          <w:lang w:val="pl-PL"/>
        </w:rPr>
        <w:t>1</w:t>
      </w:r>
      <w:r>
        <w:rPr>
          <w:rFonts w:ascii="Times New Roman" w:hAnsi="Times New Roman" w:cs="Times New Roman"/>
          <w:lang w:val="pl-PL"/>
        </w:rPr>
        <w:t>,        S. Male</w:t>
      </w:r>
      <w:r w:rsidR="00DE23D3">
        <w:rPr>
          <w:rFonts w:ascii="Times New Roman" w:hAnsi="Times New Roman" w:cs="Times New Roman"/>
          <w:lang w:val="pl-PL"/>
        </w:rPr>
        <w:t>s</w:t>
      </w:r>
      <w:r>
        <w:rPr>
          <w:rFonts w:ascii="Times New Roman" w:hAnsi="Times New Roman" w:cs="Times New Roman"/>
          <w:lang w:val="pl-PL"/>
        </w:rPr>
        <w:t>zka</w:t>
      </w:r>
      <w:r w:rsidRPr="00E23824">
        <w:rPr>
          <w:rFonts w:ascii="Times New Roman" w:hAnsi="Times New Roman" w:cs="Times New Roman"/>
          <w:vertAlign w:val="superscript"/>
          <w:lang w:val="pl-PL"/>
        </w:rPr>
        <w:t>1</w:t>
      </w:r>
      <w:r>
        <w:rPr>
          <w:rFonts w:ascii="Times New Roman" w:hAnsi="Times New Roman" w:cs="Times New Roman"/>
          <w:lang w:val="pl-PL"/>
        </w:rPr>
        <w:t xml:space="preserve">, </w:t>
      </w:r>
      <w:r w:rsidRPr="00663849">
        <w:rPr>
          <w:rFonts w:ascii="Times New Roman" w:hAnsi="Times New Roman" w:cs="Times New Roman"/>
          <w:lang w:val="pl-PL"/>
        </w:rPr>
        <w:t>Y. Zorenko¹</w:t>
      </w:r>
      <w:r w:rsidRPr="00663849">
        <w:rPr>
          <w:rFonts w:ascii="Times New Roman" w:hAnsi="Times New Roman" w:cs="Times New Roman"/>
          <w:vertAlign w:val="superscript"/>
          <w:lang w:val="pl-PL"/>
        </w:rPr>
        <w:t>,</w:t>
      </w:r>
      <w:r w:rsidRPr="00663849">
        <w:rPr>
          <w:rFonts w:ascii="Times New Roman" w:hAnsi="Times New Roman" w:cs="Times New Roman"/>
          <w:lang w:val="pl-PL"/>
        </w:rPr>
        <w:t>³</w:t>
      </w:r>
    </w:p>
    <w:p w14:paraId="6E669560" w14:textId="77777777" w:rsidR="00E23824" w:rsidRPr="00663849" w:rsidRDefault="00E23824" w:rsidP="00E23824">
      <w:pPr>
        <w:spacing w:after="0" w:line="240" w:lineRule="auto"/>
        <w:jc w:val="center"/>
        <w:rPr>
          <w:rFonts w:ascii="Times New Roman" w:hAnsi="Times New Roman" w:cs="Times New Roman"/>
          <w:sz w:val="12"/>
          <w:szCs w:val="12"/>
          <w:lang w:val="pl-PL"/>
        </w:rPr>
      </w:pPr>
    </w:p>
    <w:p w14:paraId="2D8C3CB1" w14:textId="77777777" w:rsidR="00663849" w:rsidRPr="00DE23D3" w:rsidRDefault="00663849" w:rsidP="00E23824">
      <w:pPr>
        <w:spacing w:after="0" w:line="240" w:lineRule="auto"/>
        <w:jc w:val="center"/>
        <w:rPr>
          <w:rFonts w:ascii="Times New Roman" w:hAnsi="Times New Roman" w:cs="Times New Roman"/>
          <w:lang w:val="pl-PL"/>
        </w:rPr>
      </w:pPr>
      <w:r w:rsidRPr="00DE23D3">
        <w:rPr>
          <w:rFonts w:ascii="Times New Roman" w:hAnsi="Times New Roman" w:cs="Times New Roman"/>
          <w:lang w:val="pl-PL"/>
        </w:rPr>
        <w:t>¹ Medical Physics Department, Prof. F. Łukaszyk Oncology Center, Bydgoszcz, Poland</w:t>
      </w:r>
      <w:r w:rsidRPr="00DE23D3">
        <w:rPr>
          <w:rFonts w:ascii="Times New Roman" w:hAnsi="Times New Roman" w:cs="Times New Roman"/>
          <w:lang w:val="pl-PL"/>
        </w:rPr>
        <w:br/>
        <w:t>² Department of Oncology and Brachytherapy, Collegium Medicum, Nicolaus Copernicus University in Toruń, Bydgoszcz, Poland</w:t>
      </w:r>
      <w:r w:rsidRPr="00DE23D3">
        <w:rPr>
          <w:rFonts w:ascii="Times New Roman" w:hAnsi="Times New Roman" w:cs="Times New Roman"/>
          <w:lang w:val="pl-PL"/>
        </w:rPr>
        <w:br/>
        <w:t>³ Faculty of Physics, Kazimierz Wielki University, Bydgoszcz, Poland</w:t>
      </w:r>
    </w:p>
    <w:p w14:paraId="5899F3D4" w14:textId="77777777" w:rsidR="00E23824" w:rsidRPr="00DE23D3" w:rsidRDefault="00E23824" w:rsidP="00E23824">
      <w:pPr>
        <w:spacing w:after="0" w:line="240" w:lineRule="auto"/>
        <w:jc w:val="center"/>
        <w:rPr>
          <w:rFonts w:ascii="Times New Roman" w:hAnsi="Times New Roman" w:cs="Times New Roman"/>
          <w:sz w:val="12"/>
          <w:szCs w:val="12"/>
          <w:lang w:val="pl-PL"/>
        </w:rPr>
      </w:pPr>
    </w:p>
    <w:p w14:paraId="1B077583" w14:textId="7801276B" w:rsidR="00663849" w:rsidRPr="00663849" w:rsidRDefault="00663849" w:rsidP="00663849">
      <w:pPr>
        <w:jc w:val="center"/>
        <w:rPr>
          <w:rFonts w:ascii="Times New Roman" w:hAnsi="Times New Roman" w:cs="Times New Roman"/>
        </w:rPr>
      </w:pPr>
      <w:r w:rsidRPr="00663849">
        <w:rPr>
          <w:rFonts w:ascii="Times New Roman" w:hAnsi="Times New Roman" w:cs="Times New Roman"/>
        </w:rPr>
        <w:t>*Corresponding author:</w:t>
      </w:r>
      <w:r>
        <w:rPr>
          <w:rFonts w:ascii="Times New Roman" w:hAnsi="Times New Roman" w:cs="Times New Roman"/>
        </w:rPr>
        <w:t xml:space="preserve"> </w:t>
      </w:r>
      <w:r w:rsidRPr="00663849">
        <w:rPr>
          <w:rFonts w:ascii="Times New Roman" w:hAnsi="Times New Roman" w:cs="Times New Roman"/>
        </w:rPr>
        <w:t xml:space="preserve"> janusz@co.bydgoszcz.pl</w:t>
      </w:r>
    </w:p>
    <w:p w14:paraId="4A7F5B21" w14:textId="3BDDBC88" w:rsidR="00663849" w:rsidRPr="00663849" w:rsidRDefault="00663849" w:rsidP="00AE5AC0">
      <w:pPr>
        <w:spacing w:after="0" w:line="240" w:lineRule="auto"/>
        <w:ind w:firstLine="567"/>
        <w:jc w:val="both"/>
        <w:rPr>
          <w:rFonts w:ascii="Times New Roman" w:hAnsi="Times New Roman" w:cs="Times New Roman"/>
        </w:rPr>
      </w:pPr>
      <w:r w:rsidRPr="00663849">
        <w:rPr>
          <w:rFonts w:ascii="Times New Roman" w:hAnsi="Times New Roman" w:cs="Times New Roman"/>
        </w:rPr>
        <w:t xml:space="preserve">Accurate in vivo verification of radiation dose delivered during brachytherapy and </w:t>
      </w:r>
      <w:r w:rsidR="009B53B0">
        <w:rPr>
          <w:rFonts w:ascii="Times New Roman" w:hAnsi="Times New Roman" w:cs="Times New Roman"/>
        </w:rPr>
        <w:t xml:space="preserve">EBRT (External Beam Radiotherapy) </w:t>
      </w:r>
      <w:r w:rsidRPr="00663849">
        <w:rPr>
          <w:rFonts w:ascii="Times New Roman" w:hAnsi="Times New Roman" w:cs="Times New Roman"/>
        </w:rPr>
        <w:t>remains a major clinical challenge. Conventional detectors based on ionization chambers, semiconductor devices, or thermoluminescent materials are generally unsuitable for real-time in situ dosimetry in brachytherapy due to their size, invasiveness, lack of immediate readout, or sensitivity to electromagnetic interference. Scintillation fiber-optic detectors (FODs) provide a promising alternative by enabling compact, electrically passive, and real-time dose measurements directly at or near the treatment site.</w:t>
      </w:r>
    </w:p>
    <w:p w14:paraId="12D7D390" w14:textId="2AD39B17" w:rsidR="00663849" w:rsidRPr="00663849" w:rsidRDefault="000361BD" w:rsidP="00AE5AC0">
      <w:pPr>
        <w:spacing w:after="0" w:line="240" w:lineRule="auto"/>
        <w:ind w:firstLine="567"/>
        <w:jc w:val="both"/>
        <w:rPr>
          <w:rFonts w:ascii="Times New Roman" w:hAnsi="Times New Roman" w:cs="Times New Roman"/>
          <w:spacing w:val="-2"/>
        </w:rPr>
      </w:pPr>
      <w:r w:rsidRPr="00AE5AC0">
        <w:rPr>
          <w:rFonts w:ascii="Times New Roman" w:hAnsi="Times New Roman" w:cs="Times New Roman"/>
          <w:spacing w:val="-2"/>
        </w:rPr>
        <w:t xml:space="preserve">In this report, we present the results of a systematic investigation of scintillation </w:t>
      </w:r>
      <w:r w:rsidR="00AE5AC0" w:rsidRPr="00AE5AC0">
        <w:rPr>
          <w:rFonts w:ascii="Times New Roman" w:hAnsi="Times New Roman" w:cs="Times New Roman"/>
          <w:spacing w:val="-2"/>
        </w:rPr>
        <w:t>FODs</w:t>
      </w:r>
      <w:r w:rsidRPr="00AE5AC0">
        <w:rPr>
          <w:rFonts w:ascii="Times New Roman" w:hAnsi="Times New Roman" w:cs="Times New Roman"/>
          <w:spacing w:val="-2"/>
        </w:rPr>
        <w:t xml:space="preserve"> employing Gd₃Al₂Ga₃O₁₂:Ce (GAGG:Ce) garnet and Al₂O₃:C, Al₂O₃:C,Mg sapphire scintillators with different densities (ρ) and effective atomic numbers (Z</w:t>
      </w:r>
      <w:r w:rsidRPr="00AE5AC0">
        <w:rPr>
          <w:rFonts w:ascii="Times New Roman" w:hAnsi="Times New Roman" w:cs="Times New Roman"/>
          <w:spacing w:val="-2"/>
          <w:vertAlign w:val="subscript"/>
        </w:rPr>
        <w:t>eff</w:t>
      </w:r>
      <w:r w:rsidRPr="00AE5AC0">
        <w:rPr>
          <w:rFonts w:ascii="Times New Roman" w:hAnsi="Times New Roman" w:cs="Times New Roman"/>
          <w:spacing w:val="-2"/>
        </w:rPr>
        <w:t xml:space="preserve">) for in situ dose monitoring in both brachytherapy and external-beam radiotherapy. </w:t>
      </w:r>
      <w:r w:rsidR="00663849" w:rsidRPr="00663849">
        <w:rPr>
          <w:rFonts w:ascii="Times New Roman" w:hAnsi="Times New Roman" w:cs="Times New Roman"/>
          <w:spacing w:val="-2"/>
        </w:rPr>
        <w:t>The delivered dose is registered via the radioluminescence (RL) response of the scintillator and transmitted through a long optical fiber to a compact, high-sensitivity luminescence spectrometer. This fully non-invasive measurement approach allows real-time dose verification without perturbing the radiation field.</w:t>
      </w:r>
    </w:p>
    <w:p w14:paraId="7CDBF53B" w14:textId="02530868" w:rsidR="00663849" w:rsidRDefault="00663849" w:rsidP="00AE5AC0">
      <w:pPr>
        <w:spacing w:after="0" w:line="240" w:lineRule="auto"/>
        <w:ind w:firstLine="567"/>
        <w:jc w:val="both"/>
        <w:rPr>
          <w:rFonts w:ascii="Times New Roman" w:hAnsi="Times New Roman" w:cs="Times New Roman"/>
          <w:spacing w:val="-2"/>
        </w:rPr>
      </w:pPr>
      <w:r w:rsidRPr="00663849">
        <w:rPr>
          <w:rFonts w:ascii="Times New Roman" w:hAnsi="Times New Roman" w:cs="Times New Roman"/>
          <w:spacing w:val="-2"/>
        </w:rPr>
        <w:t>Near tissue-equivalent Al₂O₃-based crystals (</w:t>
      </w:r>
      <w:r w:rsidRPr="00663849">
        <w:rPr>
          <w:rFonts w:ascii="Times New Roman" w:hAnsi="Times New Roman" w:cs="Times New Roman"/>
          <w:spacing w:val="-2"/>
          <w:lang w:val="pl-PL"/>
        </w:rPr>
        <w:t>ρ</w:t>
      </w:r>
      <w:r w:rsidRPr="00663849">
        <w:rPr>
          <w:rFonts w:ascii="Times New Roman" w:hAnsi="Times New Roman" w:cs="Times New Roman"/>
          <w:spacing w:val="-2"/>
        </w:rPr>
        <w:t>≈3.9 g/cm³, Z</w:t>
      </w:r>
      <w:r w:rsidRPr="00663849">
        <w:rPr>
          <w:rFonts w:ascii="Times New Roman" w:hAnsi="Times New Roman" w:cs="Times New Roman"/>
          <w:spacing w:val="-2"/>
          <w:vertAlign w:val="subscript"/>
        </w:rPr>
        <w:t>eff</w:t>
      </w:r>
      <w:r w:rsidRPr="00663849">
        <w:rPr>
          <w:rFonts w:ascii="Times New Roman" w:hAnsi="Times New Roman" w:cs="Times New Roman"/>
          <w:spacing w:val="-2"/>
        </w:rPr>
        <w:t>≈10.8) and high-density, high-Z</w:t>
      </w:r>
      <w:r w:rsidRPr="00663849">
        <w:rPr>
          <w:rFonts w:ascii="Times New Roman" w:hAnsi="Times New Roman" w:cs="Times New Roman"/>
          <w:spacing w:val="-2"/>
          <w:vertAlign w:val="subscript"/>
        </w:rPr>
        <w:t xml:space="preserve">eff </w:t>
      </w:r>
      <w:r w:rsidRPr="00663849">
        <w:rPr>
          <w:rFonts w:ascii="Times New Roman" w:hAnsi="Times New Roman" w:cs="Times New Roman"/>
          <w:spacing w:val="-2"/>
        </w:rPr>
        <w:t>GAGG:Ce crystals (</w:t>
      </w:r>
      <w:r w:rsidRPr="00663849">
        <w:rPr>
          <w:rFonts w:ascii="Times New Roman" w:hAnsi="Times New Roman" w:cs="Times New Roman"/>
          <w:spacing w:val="-2"/>
          <w:lang w:val="pl-PL"/>
        </w:rPr>
        <w:t>ρ</w:t>
      </w:r>
      <w:r w:rsidRPr="00663849">
        <w:rPr>
          <w:rFonts w:ascii="Times New Roman" w:hAnsi="Times New Roman" w:cs="Times New Roman"/>
          <w:spacing w:val="-2"/>
        </w:rPr>
        <w:t>≈6.6 g/cm³, Z</w:t>
      </w:r>
      <w:r w:rsidRPr="00663849">
        <w:rPr>
          <w:rFonts w:ascii="Times New Roman" w:hAnsi="Times New Roman" w:cs="Times New Roman"/>
          <w:spacing w:val="-2"/>
          <w:vertAlign w:val="subscript"/>
        </w:rPr>
        <w:t>eff</w:t>
      </w:r>
      <w:r w:rsidRPr="00663849">
        <w:rPr>
          <w:rFonts w:ascii="Times New Roman" w:hAnsi="Times New Roman" w:cs="Times New Roman"/>
          <w:spacing w:val="-2"/>
        </w:rPr>
        <w:t>≈54.4) were tested under clinical conditions. Phantom experiments were performed during brachytherapy procedures using a ¹⁹²Ir source in the dose range of 0.5–8 Gy. All investigated FODs exhibited stable operation and a close-to-linear correlation between absorbed dose and scintillation signal.</w:t>
      </w:r>
      <w:r w:rsidR="00AE5AC0">
        <w:rPr>
          <w:rFonts w:ascii="Times New Roman" w:hAnsi="Times New Roman" w:cs="Times New Roman"/>
          <w:spacing w:val="-2"/>
        </w:rPr>
        <w:t xml:space="preserve"> T</w:t>
      </w:r>
      <w:r w:rsidRPr="00663849">
        <w:rPr>
          <w:rFonts w:ascii="Times New Roman" w:hAnsi="Times New Roman" w:cs="Times New Roman"/>
          <w:spacing w:val="-2"/>
        </w:rPr>
        <w:t xml:space="preserve">he GAGG:Ce-based </w:t>
      </w:r>
      <w:r w:rsidR="00E23824">
        <w:rPr>
          <w:rFonts w:ascii="Times New Roman" w:hAnsi="Times New Roman" w:cs="Times New Roman"/>
          <w:spacing w:val="-2"/>
        </w:rPr>
        <w:t>FOD</w:t>
      </w:r>
      <w:r w:rsidRPr="00663849">
        <w:rPr>
          <w:rFonts w:ascii="Times New Roman" w:hAnsi="Times New Roman" w:cs="Times New Roman"/>
          <w:spacing w:val="-2"/>
        </w:rPr>
        <w:t xml:space="preserve"> demonstrated particularly strong RL output and excellent linearity, while Al₂O₃:C and Al₂O₃:</w:t>
      </w:r>
      <w:r w:rsidR="00AE5AC0">
        <w:rPr>
          <w:rFonts w:ascii="Times New Roman" w:hAnsi="Times New Roman" w:cs="Times New Roman"/>
          <w:spacing w:val="-2"/>
        </w:rPr>
        <w:t xml:space="preserve"> </w:t>
      </w:r>
      <w:r w:rsidRPr="00663849">
        <w:rPr>
          <w:rFonts w:ascii="Times New Roman" w:hAnsi="Times New Roman" w:cs="Times New Roman"/>
          <w:spacing w:val="-2"/>
        </w:rPr>
        <w:t xml:space="preserve">C,Mg </w:t>
      </w:r>
      <w:r w:rsidR="00E23824">
        <w:rPr>
          <w:rFonts w:ascii="Times New Roman" w:hAnsi="Times New Roman" w:cs="Times New Roman"/>
          <w:spacing w:val="-2"/>
        </w:rPr>
        <w:t>FODs</w:t>
      </w:r>
      <w:r w:rsidRPr="00663849">
        <w:rPr>
          <w:rFonts w:ascii="Times New Roman" w:hAnsi="Times New Roman" w:cs="Times New Roman"/>
          <w:spacing w:val="-2"/>
        </w:rPr>
        <w:t xml:space="preserve"> provided near tissue-equivalent response with good sensitivity and reproducibility.</w:t>
      </w:r>
    </w:p>
    <w:p w14:paraId="09710F92" w14:textId="12B08155" w:rsidR="000361BD" w:rsidRPr="00663849" w:rsidRDefault="000361BD" w:rsidP="00AE5AC0">
      <w:pPr>
        <w:spacing w:after="0" w:line="240" w:lineRule="auto"/>
        <w:ind w:firstLine="567"/>
        <w:jc w:val="both"/>
        <w:rPr>
          <w:rFonts w:ascii="Times New Roman" w:hAnsi="Times New Roman" w:cs="Times New Roman"/>
          <w:spacing w:val="-2"/>
        </w:rPr>
      </w:pPr>
      <w:r w:rsidRPr="000361BD">
        <w:rPr>
          <w:rFonts w:ascii="Times New Roman" w:hAnsi="Times New Roman" w:cs="Times New Roman"/>
          <w:spacing w:val="-2"/>
        </w:rPr>
        <w:t xml:space="preserve">Beyond phantom studies, the clinical feasibility of scintillation FODs based on GAGG:Ce crystals was demonstrated in real patient measurements during high-dose-rate ¹⁹²Ir brachytherapy procedures. The miniature GAGG:Ce scintillation </w:t>
      </w:r>
      <w:r w:rsidR="00AE5AC0">
        <w:rPr>
          <w:rFonts w:ascii="Times New Roman" w:hAnsi="Times New Roman" w:cs="Times New Roman"/>
          <w:spacing w:val="-2"/>
        </w:rPr>
        <w:t>head</w:t>
      </w:r>
      <w:r w:rsidRPr="000361BD">
        <w:rPr>
          <w:rFonts w:ascii="Times New Roman" w:hAnsi="Times New Roman" w:cs="Times New Roman"/>
          <w:spacing w:val="-2"/>
        </w:rPr>
        <w:t xml:space="preserve"> introduced in vivo via standard applicators and catheters and positioned in close proximity to the tumor volume. The recorded </w:t>
      </w:r>
      <w:r w:rsidR="00AE5AC0">
        <w:rPr>
          <w:rFonts w:ascii="Times New Roman" w:hAnsi="Times New Roman" w:cs="Times New Roman"/>
          <w:spacing w:val="-2"/>
        </w:rPr>
        <w:t xml:space="preserve">RL </w:t>
      </w:r>
      <w:r w:rsidRPr="000361BD">
        <w:rPr>
          <w:rFonts w:ascii="Times New Roman" w:hAnsi="Times New Roman" w:cs="Times New Roman"/>
          <w:spacing w:val="-2"/>
        </w:rPr>
        <w:t>signals enabled real-time tracking of the delivered dose during source dwell movements, showing very good agreement with treatment planning system predictions. Importantly, no adverse effects on patient comfort or treatment workflow were observed, confirming the practical suitability of garnet-based scintillation detectors for routine clinical in situ dosimetry.</w:t>
      </w:r>
    </w:p>
    <w:p w14:paraId="1D5BC1EF" w14:textId="28E9081F" w:rsidR="00663849" w:rsidRPr="00663849" w:rsidRDefault="00663849" w:rsidP="00AE5AC0">
      <w:pPr>
        <w:spacing w:after="0" w:line="240" w:lineRule="auto"/>
        <w:ind w:firstLine="567"/>
        <w:jc w:val="both"/>
        <w:rPr>
          <w:rFonts w:ascii="Times New Roman" w:hAnsi="Times New Roman" w:cs="Times New Roman"/>
        </w:rPr>
      </w:pPr>
      <w:r w:rsidRPr="00663849">
        <w:rPr>
          <w:rFonts w:ascii="Times New Roman" w:hAnsi="Times New Roman" w:cs="Times New Roman"/>
        </w:rPr>
        <w:t xml:space="preserve">In addition, FODs based on GAGG:Ce crystals were successfully applied to in situ dose measurements in </w:t>
      </w:r>
      <w:r w:rsidR="009B53B0">
        <w:rPr>
          <w:rFonts w:ascii="Times New Roman" w:hAnsi="Times New Roman" w:cs="Times New Roman"/>
        </w:rPr>
        <w:t>EBRT</w:t>
      </w:r>
      <w:r w:rsidRPr="00663849">
        <w:rPr>
          <w:rFonts w:ascii="Times New Roman" w:hAnsi="Times New Roman" w:cs="Times New Roman"/>
        </w:rPr>
        <w:t xml:space="preserve"> using conventional linear accelerators and a MR-Linac</w:t>
      </w:r>
      <w:r>
        <w:rPr>
          <w:rFonts w:ascii="Times New Roman" w:hAnsi="Times New Roman" w:cs="Times New Roman"/>
        </w:rPr>
        <w:t xml:space="preserve"> operated with magnetic field </w:t>
      </w:r>
      <w:r w:rsidRPr="00663849">
        <w:rPr>
          <w:rFonts w:ascii="Times New Roman" w:hAnsi="Times New Roman" w:cs="Times New Roman"/>
        </w:rPr>
        <w:t>1.5T</w:t>
      </w:r>
      <w:r w:rsidR="009B53B0">
        <w:rPr>
          <w:rFonts w:ascii="Times New Roman" w:hAnsi="Times New Roman" w:cs="Times New Roman"/>
        </w:rPr>
        <w:t xml:space="preserve"> (MR guided EBRT)</w:t>
      </w:r>
      <w:r w:rsidRPr="00663849">
        <w:rPr>
          <w:rFonts w:ascii="Times New Roman" w:hAnsi="Times New Roman" w:cs="Times New Roman"/>
        </w:rPr>
        <w:t>. Compared to semiconductor detectors, the scintillation FODs showed high measurement homogeneity and accuracy, largely independent of beam direction and magnetic field presence.</w:t>
      </w:r>
    </w:p>
    <w:p w14:paraId="642BBE12" w14:textId="65F39599" w:rsidR="00663849" w:rsidRPr="00663849" w:rsidRDefault="00663849" w:rsidP="00AE5AC0">
      <w:pPr>
        <w:spacing w:after="0" w:line="240" w:lineRule="auto"/>
        <w:ind w:firstLine="567"/>
        <w:jc w:val="both"/>
        <w:rPr>
          <w:rFonts w:ascii="Times New Roman" w:hAnsi="Times New Roman" w:cs="Times New Roman"/>
        </w:rPr>
      </w:pPr>
      <w:r w:rsidRPr="00663849">
        <w:rPr>
          <w:rFonts w:ascii="Times New Roman" w:hAnsi="Times New Roman" w:cs="Times New Roman"/>
        </w:rPr>
        <w:t xml:space="preserve">These results confirm that scintillation FODs constitute a robust and versatile platform for real-time in situ dosimetry in both brachytherapy and </w:t>
      </w:r>
      <w:r w:rsidR="009B53B0">
        <w:rPr>
          <w:rFonts w:ascii="Times New Roman" w:hAnsi="Times New Roman" w:cs="Times New Roman"/>
        </w:rPr>
        <w:t>External Beams</w:t>
      </w:r>
      <w:r w:rsidRPr="00663849">
        <w:rPr>
          <w:rFonts w:ascii="Times New Roman" w:hAnsi="Times New Roman" w:cs="Times New Roman"/>
        </w:rPr>
        <w:t>. The observed differences in scintillation performance provide valuable guidance for selecting optimal crystal materials for specific clinical scenarios and dose requirements.</w:t>
      </w:r>
    </w:p>
    <w:p w14:paraId="17159A46" w14:textId="59EAF98B" w:rsidR="00BB7260" w:rsidRDefault="00663849" w:rsidP="00AE5AC0">
      <w:pPr>
        <w:spacing w:before="120" w:after="0" w:line="240" w:lineRule="auto"/>
        <w:ind w:firstLine="567"/>
        <w:jc w:val="both"/>
      </w:pPr>
      <w:r w:rsidRPr="00663849">
        <w:rPr>
          <w:rFonts w:ascii="Times New Roman" w:hAnsi="Times New Roman" w:cs="Times New Roman"/>
        </w:rPr>
        <w:t>This work was performed in frame of the Polish NCN project No. 2024/55/B/ST7/02680.</w:t>
      </w:r>
    </w:p>
    <w:sectPr w:rsidR="00BB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49"/>
    <w:rsid w:val="000361BD"/>
    <w:rsid w:val="001464BB"/>
    <w:rsid w:val="002A6F27"/>
    <w:rsid w:val="005A3F0E"/>
    <w:rsid w:val="00663849"/>
    <w:rsid w:val="00775AA1"/>
    <w:rsid w:val="009B53B0"/>
    <w:rsid w:val="00AE5AC0"/>
    <w:rsid w:val="00B039C7"/>
    <w:rsid w:val="00BB7260"/>
    <w:rsid w:val="00DE23D3"/>
    <w:rsid w:val="00E23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372E"/>
  <w15:chartTrackingRefBased/>
  <w15:docId w15:val="{6A4C4E14-29CB-488E-B3CE-9EFA9137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663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63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38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38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38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38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38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38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38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3849"/>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663849"/>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663849"/>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663849"/>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663849"/>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663849"/>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663849"/>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663849"/>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663849"/>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663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3849"/>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6638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3849"/>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6638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3849"/>
    <w:rPr>
      <w:i/>
      <w:iCs/>
      <w:color w:val="404040" w:themeColor="text1" w:themeTint="BF"/>
      <w:lang w:val="en-GB"/>
    </w:rPr>
  </w:style>
  <w:style w:type="paragraph" w:styleId="Akapitzlist">
    <w:name w:val="List Paragraph"/>
    <w:basedOn w:val="Normalny"/>
    <w:uiPriority w:val="34"/>
    <w:qFormat/>
    <w:rsid w:val="00663849"/>
    <w:pPr>
      <w:ind w:left="720"/>
      <w:contextualSpacing/>
    </w:pPr>
  </w:style>
  <w:style w:type="character" w:styleId="Wyrnienieintensywne">
    <w:name w:val="Intense Emphasis"/>
    <w:basedOn w:val="Domylnaczcionkaakapitu"/>
    <w:uiPriority w:val="21"/>
    <w:qFormat/>
    <w:rsid w:val="00663849"/>
    <w:rPr>
      <w:i/>
      <w:iCs/>
      <w:color w:val="2F5496" w:themeColor="accent1" w:themeShade="BF"/>
    </w:rPr>
  </w:style>
  <w:style w:type="paragraph" w:styleId="Cytatintensywny">
    <w:name w:val="Intense Quote"/>
    <w:basedOn w:val="Normalny"/>
    <w:next w:val="Normalny"/>
    <w:link w:val="CytatintensywnyZnak"/>
    <w:uiPriority w:val="30"/>
    <w:qFormat/>
    <w:rsid w:val="00663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3849"/>
    <w:rPr>
      <w:i/>
      <w:iCs/>
      <w:color w:val="2F5496" w:themeColor="accent1" w:themeShade="BF"/>
      <w:lang w:val="en-GB"/>
    </w:rPr>
  </w:style>
  <w:style w:type="character" w:styleId="Odwoanieintensywne">
    <w:name w:val="Intense Reference"/>
    <w:basedOn w:val="Domylnaczcionkaakapitu"/>
    <w:uiPriority w:val="32"/>
    <w:qFormat/>
    <w:rsid w:val="00663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574</Words>
  <Characters>3446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Zorenko</dc:creator>
  <cp:keywords/>
  <dc:description/>
  <cp:lastModifiedBy>Janusz Winiecki</cp:lastModifiedBy>
  <cp:revision>3</cp:revision>
  <dcterms:created xsi:type="dcterms:W3CDTF">2026-01-26T18:07:00Z</dcterms:created>
  <dcterms:modified xsi:type="dcterms:W3CDTF">2026-01-26T22:12:00Z</dcterms:modified>
</cp:coreProperties>
</file>