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The Upgrade of the LHCb Electromagnetic Calorimeter:</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Light-based Technologies with Picosecond Timing</w:t>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Loris Martinazzoli</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On behalf of the LHCb ECAL Upgrade II R&amp;D group</w:t>
      </w:r>
    </w:p>
    <w:p w:rsidR="00000000" w:rsidDel="00000000" w:rsidP="00000000" w:rsidRDefault="00000000" w:rsidRPr="00000000" w14:paraId="00000006">
      <w:pPr>
        <w:jc w:val="center"/>
        <w:rPr>
          <w:sz w:val="24"/>
          <w:szCs w:val="24"/>
        </w:rPr>
      </w:pPr>
      <w:r w:rsidDel="00000000" w:rsidR="00000000" w:rsidRPr="00000000">
        <w:rPr>
          <w:i w:val="1"/>
          <w:iCs w:val="1"/>
          <w:sz w:val="24"/>
          <w:szCs w:val="24"/>
          <w:vertAlign w:val="superscript"/>
          <w:rtl w:val="0"/>
        </w:rPr>
        <w:t xml:space="preserve">1</w:t>
      </w:r>
      <w:r w:rsidDel="00000000" w:rsidR="00000000" w:rsidRPr="00000000">
        <w:rPr>
          <w:i w:val="1"/>
          <w:iCs w:val="1"/>
          <w:sz w:val="24"/>
          <w:szCs w:val="24"/>
          <w:rtl w:val="0"/>
        </w:rPr>
        <w:t xml:space="preserve">European Organization for the Nuclear Research (CERN), Geneva, Switzerland</w:t>
      </w: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Corresponding Author Email: </w:t>
      </w:r>
      <w:hyperlink r:id="rId7">
        <w:r w:rsidDel="00000000" w:rsidR="00000000" w:rsidRPr="00000000">
          <w:rPr>
            <w:color w:val="1155cc"/>
            <w:sz w:val="24"/>
            <w:szCs w:val="24"/>
            <w:u w:val="single"/>
            <w:rtl w:val="0"/>
          </w:rPr>
          <w:t xml:space="preserve">loris.martinazzoli@cern.ch</w:t>
        </w:r>
      </w:hyperlink>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 aim of the </w:t>
      </w:r>
      <w:r w:rsidDel="00000000" w:rsidR="00000000" w:rsidRPr="00000000">
        <w:rPr>
          <w:sz w:val="24"/>
          <w:szCs w:val="24"/>
          <w:rtl w:val="0"/>
        </w:rPr>
        <w:t xml:space="preserve">Upgrade II</w:t>
      </w:r>
      <w:r w:rsidDel="00000000" w:rsidR="00000000" w:rsidRPr="00000000">
        <w:rPr>
          <w:sz w:val="24"/>
          <w:szCs w:val="24"/>
          <w:rtl w:val="0"/>
        </w:rPr>
        <w:t xml:space="preserve"> of the LHCb detector is to operate during Run 5 of the CERN Large Hadron Collider (LHC) at a luminosity of </w:t>
      </w:r>
      <w:r w:rsidDel="00000000" w:rsidR="00000000" w:rsidRPr="00000000">
        <w:drawing>
          <wp:anchor allowOverlap="1" behindDoc="0" distB="0" distT="0" distL="114300" distR="114300" hidden="0" layoutInCell="1" locked="0" relativeHeight="0" simplePos="0">
            <wp:simplePos x="0" y="0"/>
            <wp:positionH relativeFrom="column">
              <wp:posOffset>3419475</wp:posOffset>
            </wp:positionH>
            <wp:positionV relativeFrom="paragraph">
              <wp:posOffset>189999</wp:posOffset>
            </wp:positionV>
            <wp:extent cx="2714625" cy="3115037"/>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8"/>
                    <a:srcRect b="0" l="0" r="0" t="5204"/>
                    <a:stretch>
                      <a:fillRect/>
                    </a:stretch>
                  </pic:blipFill>
                  <pic:spPr>
                    <a:xfrm>
                      <a:off x="0" y="0"/>
                      <a:ext cx="2714625" cy="3115037"/>
                    </a:xfrm>
                    <a:prstGeom prst="rect"/>
                    <a:ln/>
                  </pic:spPr>
                </pic:pic>
              </a:graphicData>
            </a:graphic>
          </wp:anchor>
        </w:draw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1 x 10</w:t>
      </w:r>
      <w:r w:rsidDel="00000000" w:rsidR="00000000" w:rsidRPr="00000000">
        <w:rPr>
          <w:sz w:val="24"/>
          <w:szCs w:val="24"/>
          <w:vertAlign w:val="superscript"/>
          <w:rtl w:val="0"/>
        </w:rPr>
        <w:t xml:space="preserve">34</w:t>
      </w:r>
      <w:r w:rsidDel="00000000" w:rsidR="00000000" w:rsidRPr="00000000">
        <w:rPr>
          <w:sz w:val="24"/>
          <w:szCs w:val="24"/>
          <w:rtl w:val="0"/>
        </w:rPr>
        <w:t xml:space="preserve"> cm</w:t>
      </w:r>
      <w:r w:rsidDel="00000000" w:rsidR="00000000" w:rsidRPr="00000000">
        <w:rPr>
          <w:sz w:val="24"/>
          <w:szCs w:val="24"/>
          <w:vertAlign w:val="superscript"/>
          <w:rtl w:val="0"/>
        </w:rPr>
        <w:t xml:space="preserve">-2</w:t>
      </w:r>
      <w:r w:rsidDel="00000000" w:rsidR="00000000" w:rsidRPr="00000000">
        <w:rPr>
          <w:sz w:val="24"/>
          <w:szCs w:val="24"/>
          <w:rtl w:val="0"/>
        </w:rPr>
        <w:t xml:space="preserve"> s</w:t>
      </w:r>
      <w:r w:rsidDel="00000000" w:rsidR="00000000" w:rsidRPr="00000000">
        <w:rPr>
          <w:sz w:val="24"/>
          <w:szCs w:val="24"/>
          <w:vertAlign w:val="superscript"/>
          <w:rtl w:val="0"/>
        </w:rPr>
        <w:t xml:space="preserve">-1</w:t>
      </w:r>
      <w:r w:rsidDel="00000000" w:rsidR="00000000" w:rsidRPr="00000000">
        <w:rPr>
          <w:sz w:val="24"/>
          <w:szCs w:val="24"/>
          <w:rtl w:val="0"/>
        </w:rPr>
        <w:t xml:space="preserve"> to collect a data set of 300 fb</w:t>
      </w:r>
      <w:r w:rsidDel="00000000" w:rsidR="00000000" w:rsidRPr="00000000">
        <w:rPr>
          <w:sz w:val="24"/>
          <w:szCs w:val="24"/>
          <w:vertAlign w:val="superscript"/>
          <w:rtl w:val="0"/>
        </w:rPr>
        <w:t xml:space="preserve">-1</w:t>
      </w:r>
      <w:r w:rsidDel="00000000" w:rsidR="00000000" w:rsidRPr="00000000">
        <w:rPr>
          <w:sz w:val="24"/>
          <w:szCs w:val="24"/>
          <w:rtl w:val="0"/>
        </w:rPr>
        <w:t xml:space="preserve">. The increase in particle densities  requires a substantial modification of the present Electromagnetic Calorimeter (ECAL). The modules of the new calorimeter, the PicoCal, must feature radiation-hard technologies and timing capabilities down to tens of picoseconds [1]. Spaghetti calorimeter (SpaCal) and Shashlik technologies will be used  for the upgrade. Moreover, an</w:t>
      </w:r>
      <w:r w:rsidDel="00000000" w:rsidR="00000000" w:rsidRPr="00000000">
        <w:rPr>
          <w:sz w:val="24"/>
          <w:szCs w:val="24"/>
          <w:rtl w:val="0"/>
        </w:rPr>
        <w:t xml:space="preserve"> enhancement is planned already during the LS3 of the LHC, to cope with </w:t>
      </w:r>
      <w:r w:rsidDel="00000000" w:rsidR="00000000" w:rsidRPr="00000000">
        <w:rPr>
          <w:sz w:val="24"/>
          <w:szCs w:val="24"/>
          <w:rtl w:val="0"/>
        </w:rPr>
        <w:t xml:space="preserve">ageing</w:t>
      </w:r>
      <w:r w:rsidDel="00000000" w:rsidR="00000000" w:rsidRPr="00000000">
        <w:rPr>
          <w:sz w:val="24"/>
          <w:szCs w:val="24"/>
          <w:rtl w:val="0"/>
        </w:rPr>
        <w:t xml:space="preserve"> effects of the present modules [2]</w:t>
      </w:r>
      <w:r w:rsidDel="00000000" w:rsidR="00000000" w:rsidRPr="00000000">
        <w:rPr>
          <w:sz w:val="24"/>
          <w:szCs w:val="24"/>
          <w:rtl w:val="0"/>
        </w:rPr>
        <w:t xml:space="preserv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The design of the new modules includes both organic and inorganic scintillators: the region facing up to 1 MGy of radiation dose will be equipped with crystal garnet fibres, whereas the region up to 200 kGy with organic scintillators. An intense R&amp;D campaign is ongoing to identify and optimize the material compositions. That includes accelerating the scintillation of the garnets to cope with the high particle rate and developing radiation-tolerant plastics, for instance with red organic dyes or nanomaterials.</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Several calorimeter prototypes with </w:t>
      </w:r>
      <w:r w:rsidDel="00000000" w:rsidR="00000000" w:rsidRPr="00000000">
        <w:rPr>
          <w:sz w:val="24"/>
          <w:szCs w:val="24"/>
          <w:rtl w:val="0"/>
        </w:rPr>
        <w:t xml:space="preserve">cast</w:t>
      </w:r>
      <w:r w:rsidDel="00000000" w:rsidR="00000000" w:rsidRPr="00000000">
        <w:rPr>
          <w:sz w:val="24"/>
          <w:szCs w:val="24"/>
          <w:rtl w:val="0"/>
        </w:rPr>
        <w:t xml:space="preserve"> lead and 3D-printed tungsten absorbers were produced and tested, comparing different scintillators, studying optical couplings, and testing multiple readout configurations with fast photodetectors. The obtained energy resolutions showed sampling and constant terms of about 10% / sqrt(E) and 1%, respectively, while the time resolutions reached 15 ps [2, 3]. The results are in agreement with detailed Monte Carlo simulations.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While the prototypes reach the target performance, further development and optimisation of the scintillating materials is necessary. This contribution gives an overview of the project, presenting the latest experimental results of the SpaCal and Shashlik prototypes and focusing on the ongoing R&amp;D on organic and inorganic scintillators</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1"/>
        </w:numPr>
        <w:spacing w:before="240" w:lineRule="auto"/>
        <w:ind w:left="720" w:hanging="360"/>
        <w:rPr>
          <w:rFonts w:ascii="Arial" w:cs="Arial" w:eastAsia="Arial" w:hAnsi="Arial"/>
        </w:rPr>
      </w:pPr>
      <w:r w:rsidDel="00000000" w:rsidR="00000000" w:rsidRPr="00000000">
        <w:rPr>
          <w:sz w:val="24"/>
          <w:szCs w:val="24"/>
          <w:rtl w:val="0"/>
        </w:rPr>
        <w:t xml:space="preserve">The LHCb Collaboration, </w:t>
      </w:r>
      <w:r w:rsidDel="00000000" w:rsidR="00000000" w:rsidRPr="00000000">
        <w:rPr>
          <w:i w:val="1"/>
          <w:iCs w:val="1"/>
          <w:sz w:val="24"/>
          <w:szCs w:val="24"/>
          <w:rtl w:val="0"/>
        </w:rPr>
        <w:t xml:space="preserve">LHCb Upgrade II Scoping Document,</w:t>
      </w:r>
      <w:r w:rsidDel="00000000" w:rsidR="00000000" w:rsidRPr="00000000">
        <w:rPr>
          <w:sz w:val="24"/>
          <w:szCs w:val="24"/>
          <w:rtl w:val="0"/>
        </w:rPr>
        <w:t xml:space="preserve"> 2024, LHCB-TDR-026, </w:t>
      </w:r>
      <w:hyperlink r:id="rId9">
        <w:r w:rsidDel="00000000" w:rsidR="00000000" w:rsidRPr="00000000">
          <w:rPr>
            <w:color w:val="1155cc"/>
            <w:sz w:val="24"/>
            <w:szCs w:val="24"/>
            <w:u w:val="single"/>
            <w:rtl w:val="0"/>
          </w:rPr>
          <w:t xml:space="preserve">http://dx.doi.org/10.17181/CERN.2RXP.HDK0</w:t>
        </w:r>
      </w:hyperlink>
      <w:r w:rsidDel="00000000" w:rsidR="00000000" w:rsidRPr="00000000">
        <w:rPr>
          <w:sz w:val="24"/>
          <w:szCs w:val="24"/>
          <w:rtl w:val="0"/>
        </w:rPr>
        <w:t xml:space="preserve"> </w:t>
      </w:r>
    </w:p>
    <w:p w:rsidR="00000000" w:rsidDel="00000000" w:rsidP="00000000" w:rsidRDefault="00000000" w:rsidRPr="00000000" w14:paraId="00000013">
      <w:pPr>
        <w:numPr>
          <w:ilvl w:val="0"/>
          <w:numId w:val="1"/>
        </w:numPr>
        <w:spacing w:before="240" w:lineRule="auto"/>
        <w:ind w:left="720" w:hanging="360"/>
        <w:rPr>
          <w:rFonts w:ascii="Arial" w:cs="Arial" w:eastAsia="Arial" w:hAnsi="Arial"/>
        </w:rPr>
      </w:pPr>
      <w:r w:rsidDel="00000000" w:rsidR="00000000" w:rsidRPr="00000000">
        <w:rPr>
          <w:sz w:val="24"/>
          <w:szCs w:val="24"/>
          <w:rtl w:val="0"/>
        </w:rPr>
        <w:t xml:space="preserve">The LHCb Collaboration, </w:t>
      </w:r>
      <w:r w:rsidDel="00000000" w:rsidR="00000000" w:rsidRPr="00000000">
        <w:rPr>
          <w:i w:val="1"/>
          <w:iCs w:val="1"/>
          <w:sz w:val="24"/>
          <w:szCs w:val="24"/>
          <w:rtl w:val="0"/>
        </w:rPr>
        <w:t xml:space="preserve">LHCb Particle Identification Enhancement Technical Design Report</w:t>
      </w:r>
      <w:r w:rsidDel="00000000" w:rsidR="00000000" w:rsidRPr="00000000">
        <w:rPr>
          <w:sz w:val="24"/>
          <w:szCs w:val="24"/>
          <w:rtl w:val="0"/>
        </w:rPr>
        <w:t xml:space="preserve">, 2023, </w:t>
      </w:r>
      <w:hyperlink r:id="rId10">
        <w:r w:rsidDel="00000000" w:rsidR="00000000" w:rsidRPr="00000000">
          <w:rPr>
            <w:color w:val="1155cc"/>
            <w:sz w:val="24"/>
            <w:szCs w:val="24"/>
            <w:u w:val="single"/>
            <w:rtl w:val="0"/>
          </w:rPr>
          <w:t xml:space="preserve">http://dx.doi.org/10.17181/CERN.LAZM.F5OH</w:t>
        </w:r>
      </w:hyperlink>
      <w:r w:rsidDel="00000000" w:rsidR="00000000" w:rsidRPr="00000000">
        <w:rPr>
          <w:sz w:val="24"/>
          <w:szCs w:val="24"/>
          <w:rtl w:val="0"/>
        </w:rPr>
        <w:t xml:space="preserve"> </w:t>
      </w:r>
    </w:p>
    <w:p w:rsidR="00000000" w:rsidDel="00000000" w:rsidP="00000000" w:rsidRDefault="00000000" w:rsidRPr="00000000" w14:paraId="00000014">
      <w:pPr>
        <w:numPr>
          <w:ilvl w:val="0"/>
          <w:numId w:val="1"/>
        </w:numPr>
        <w:spacing w:before="240" w:lineRule="auto"/>
        <w:ind w:left="720" w:hanging="360"/>
        <w:rPr>
          <w:sz w:val="24"/>
          <w:szCs w:val="24"/>
          <w:u w:val="none"/>
        </w:rPr>
      </w:pPr>
      <w:r w:rsidDel="00000000" w:rsidR="00000000" w:rsidRPr="00000000">
        <w:rPr>
          <w:sz w:val="24"/>
          <w:szCs w:val="24"/>
          <w:rtl w:val="0"/>
        </w:rPr>
        <w:t xml:space="preserve">An L. et al., </w:t>
      </w:r>
      <w:r w:rsidDel="00000000" w:rsidR="00000000" w:rsidRPr="00000000">
        <w:rPr>
          <w:i w:val="1"/>
          <w:iCs w:val="1"/>
          <w:sz w:val="24"/>
          <w:szCs w:val="24"/>
          <w:rtl w:val="0"/>
        </w:rPr>
        <w:t xml:space="preserve">Performance of a spaghetti calorimeter prototype with tungsten absorber and garnet crystal fibres</w:t>
      </w:r>
      <w:r w:rsidDel="00000000" w:rsidR="00000000" w:rsidRPr="00000000">
        <w:rPr>
          <w:sz w:val="24"/>
          <w:szCs w:val="24"/>
          <w:rtl w:val="0"/>
        </w:rPr>
        <w:t xml:space="preserve">, NIM A, 2023, 1045, 167629, </w:t>
      </w:r>
      <w:hyperlink r:id="rId11">
        <w:r w:rsidDel="00000000" w:rsidR="00000000" w:rsidRPr="00000000">
          <w:rPr>
            <w:color w:val="1155cc"/>
            <w:sz w:val="24"/>
            <w:szCs w:val="24"/>
            <w:u w:val="single"/>
            <w:rtl w:val="0"/>
          </w:rPr>
          <w:t xml:space="preserve">https://doi.org/10.1016/j.nima.2022.167629</w:t>
        </w:r>
      </w:hyperlink>
      <w:r w:rsidDel="00000000" w:rsidR="00000000" w:rsidRPr="00000000">
        <w:rPr>
          <w:rtl w:val="0"/>
        </w:rPr>
      </w:r>
    </w:p>
    <w:sectPr>
      <w:pgSz w:h="16838" w:w="11906" w:orient="portrait"/>
      <w:pgMar w:bottom="1134" w:top="992.1259842519685"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ph" w:customStyle="1">
    <w:name w:val="Paragraph"/>
    <w:basedOn w:val="Normale"/>
    <w:rsid w:val="00085FC9"/>
    <w:pPr>
      <w:ind w:firstLine="360"/>
    </w:pPr>
  </w:style>
  <w:style w:type="character" w:styleId="Collegamentoipertestuale">
    <w:name w:val="Hyperlink"/>
    <w:uiPriority w:val="99"/>
    <w:unhideWhenUsed w:val="1"/>
    <w:rsid w:val="0035680F"/>
    <w:rPr>
      <w:color w:val="0000ff"/>
      <w:u w:val="single"/>
    </w:rPr>
  </w:style>
  <w:style w:type="paragraph" w:styleId="Intestazione">
    <w:name w:val="header"/>
    <w:basedOn w:val="Normale"/>
    <w:link w:val="IntestazioneCarattere"/>
    <w:uiPriority w:val="99"/>
    <w:semiHidden w:val="1"/>
    <w:unhideWhenUsed w:val="1"/>
    <w:rsid w:val="003E14F0"/>
    <w:pPr>
      <w:tabs>
        <w:tab w:val="center" w:pos="4680"/>
        <w:tab w:val="right" w:pos="9360"/>
      </w:tabs>
    </w:pPr>
  </w:style>
  <w:style w:type="character" w:styleId="IntestazioneCarattere" w:customStyle="1">
    <w:name w:val="Intestazione Carattere"/>
    <w:link w:val="Intestazione"/>
    <w:uiPriority w:val="99"/>
    <w:semiHidden w:val="1"/>
    <w:rsid w:val="003E14F0"/>
    <w:rPr>
      <w:rFonts w:ascii="Times New Roman" w:cs="Times New Roman" w:eastAsia="Times New Roman" w:hAnsi="Times New Roman"/>
      <w:sz w:val="20"/>
      <w:szCs w:val="20"/>
      <w:lang w:eastAsia="ja-JP"/>
    </w:rPr>
  </w:style>
  <w:style w:type="paragraph" w:styleId="Pidipagina">
    <w:name w:val="footer"/>
    <w:basedOn w:val="Normale"/>
    <w:link w:val="PidipaginaCarattere"/>
    <w:uiPriority w:val="99"/>
    <w:semiHidden w:val="1"/>
    <w:unhideWhenUsed w:val="1"/>
    <w:rsid w:val="003E14F0"/>
    <w:pPr>
      <w:tabs>
        <w:tab w:val="center" w:pos="4680"/>
        <w:tab w:val="right" w:pos="9360"/>
      </w:tabs>
    </w:pPr>
  </w:style>
  <w:style w:type="character" w:styleId="PidipaginaCarattere" w:customStyle="1">
    <w:name w:val="Piè di pagina Carattere"/>
    <w:link w:val="Pidipagina"/>
    <w:uiPriority w:val="99"/>
    <w:semiHidden w:val="1"/>
    <w:rsid w:val="003E14F0"/>
    <w:rPr>
      <w:rFonts w:ascii="Times New Roman" w:cs="Times New Roman" w:eastAsia="Times New Roman" w:hAnsi="Times New Roman"/>
      <w:sz w:val="20"/>
      <w:szCs w:val="20"/>
      <w:lang w:eastAsia="ja-JP"/>
    </w:rPr>
  </w:style>
  <w:style w:type="character" w:styleId="UnresolvedMention" w:customStyle="1">
    <w:name w:val="Unresolved Mention"/>
    <w:uiPriority w:val="99"/>
    <w:semiHidden w:val="1"/>
    <w:unhideWhenUsed w:val="1"/>
    <w:rsid w:val="00C37DD7"/>
    <w:rPr>
      <w:color w:val="605e5c"/>
      <w:shd w:color="auto" w:fill="e1dfdd" w:val="clear"/>
    </w:rPr>
  </w:style>
  <w:style w:type="character" w:styleId="Rimandocommento">
    <w:name w:val="annotation reference"/>
    <w:uiPriority w:val="99"/>
    <w:semiHidden w:val="1"/>
    <w:unhideWhenUsed w:val="1"/>
    <w:rsid w:val="00151332"/>
    <w:rPr>
      <w:sz w:val="16"/>
      <w:szCs w:val="16"/>
    </w:rPr>
  </w:style>
  <w:style w:type="paragraph" w:styleId="Testocommento">
    <w:name w:val="annotation text"/>
    <w:basedOn w:val="Normale"/>
    <w:link w:val="TestocommentoCarattere"/>
    <w:uiPriority w:val="99"/>
    <w:semiHidden w:val="1"/>
    <w:unhideWhenUsed w:val="1"/>
    <w:rsid w:val="00151332"/>
  </w:style>
  <w:style w:type="character" w:styleId="TestocommentoCarattere" w:customStyle="1">
    <w:name w:val="Testo commento Carattere"/>
    <w:link w:val="Testocommento"/>
    <w:uiPriority w:val="99"/>
    <w:semiHidden w:val="1"/>
    <w:rsid w:val="00151332"/>
    <w:rPr>
      <w:rFonts w:ascii="Times New Roman" w:eastAsia="Times New Roman" w:hAnsi="Times New Roman"/>
      <w:lang w:eastAsia="ja-JP"/>
    </w:rPr>
  </w:style>
  <w:style w:type="paragraph" w:styleId="Soggettocommento">
    <w:name w:val="annotation subject"/>
    <w:basedOn w:val="Testocommento"/>
    <w:next w:val="Testocommento"/>
    <w:link w:val="SoggettocommentoCarattere"/>
    <w:uiPriority w:val="99"/>
    <w:semiHidden w:val="1"/>
    <w:unhideWhenUsed w:val="1"/>
    <w:rsid w:val="00151332"/>
    <w:rPr>
      <w:b w:val="1"/>
      <w:bCs w:val="1"/>
    </w:rPr>
  </w:style>
  <w:style w:type="character" w:styleId="SoggettocommentoCarattere" w:customStyle="1">
    <w:name w:val="Soggetto commento Carattere"/>
    <w:link w:val="Soggettocommento"/>
    <w:uiPriority w:val="99"/>
    <w:semiHidden w:val="1"/>
    <w:rsid w:val="00151332"/>
    <w:rPr>
      <w:rFonts w:ascii="Times New Roman" w:eastAsia="Times New Roman" w:hAnsi="Times New Roman"/>
      <w:b w:val="1"/>
      <w:bCs w:val="1"/>
      <w:lang w:eastAsia="ja-JP"/>
    </w:rPr>
  </w:style>
  <w:style w:type="paragraph" w:styleId="Testofumetto">
    <w:name w:val="Balloon Text"/>
    <w:basedOn w:val="Normale"/>
    <w:link w:val="TestofumettoCarattere"/>
    <w:uiPriority w:val="99"/>
    <w:semiHidden w:val="1"/>
    <w:unhideWhenUsed w:val="1"/>
    <w:rsid w:val="00151332"/>
    <w:rPr>
      <w:rFonts w:ascii="Segoe UI" w:cs="Segoe UI" w:hAnsi="Segoe UI"/>
      <w:sz w:val="18"/>
      <w:szCs w:val="18"/>
    </w:rPr>
  </w:style>
  <w:style w:type="character" w:styleId="TestofumettoCarattere" w:customStyle="1">
    <w:name w:val="Testo fumetto Carattere"/>
    <w:link w:val="Testofumetto"/>
    <w:uiPriority w:val="99"/>
    <w:semiHidden w:val="1"/>
    <w:rsid w:val="00151332"/>
    <w:rPr>
      <w:rFonts w:ascii="Segoe UI" w:cs="Segoe UI" w:eastAsia="Times New Roman" w:hAnsi="Segoe UI"/>
      <w:sz w:val="18"/>
      <w:szCs w:val="18"/>
      <w:lang w:eastAsia="ja-JP"/>
    </w:rPr>
  </w:style>
  <w:style w:type="paragraph" w:styleId="Didascalia">
    <w:name w:val="caption"/>
    <w:basedOn w:val="Normale"/>
    <w:next w:val="Normale"/>
    <w:uiPriority w:val="35"/>
    <w:unhideWhenUsed w:val="1"/>
    <w:qFormat w:val="1"/>
    <w:rsid w:val="0056575C"/>
    <w:pPr>
      <w:spacing w:after="200"/>
    </w:pPr>
    <w:rPr>
      <w:i w:val="1"/>
      <w:iCs w:val="1"/>
      <w:color w:val="44546a" w:themeColor="text2"/>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16/j.nima.2022.167629" TargetMode="External"/><Relationship Id="rId10" Type="http://schemas.openxmlformats.org/officeDocument/2006/relationships/hyperlink" Target="http://dx.doi.org/10.17181/CERN.LAZM.F5OH" TargetMode="External"/><Relationship Id="rId9" Type="http://schemas.openxmlformats.org/officeDocument/2006/relationships/hyperlink" Target="http://dx.doi.org/10.17181/CERN.2RXP.HDK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oris.martinazzoli@cern.ch" TargetMode="External"/><Relationship Id="rId8"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8Fg2oDQRYPFdiR6mqUSL1ZRFQ==">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2023-10-20T11:40:00Z</dcterms:created>
  <dc:creator>meier5</dc:creator>
</cp:coreProperties>
</file>